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ՀԾԿՀ-24/4-ԷԱՃԾՁԲ</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հանրային ծառայությունները կարգավորող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Սարյան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Համացանցային կայքի անվտանգության հավաստագրի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Էդգար Շադյան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015580808-116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eshadyan@psrc.am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հանրային ծառայությունները կարգավորող հանձնաժողով</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ՀԾԿՀ-24/4-ԷԱՃԾՁԲ</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հանրային ծառայությունները կարգավորող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հանրային ծառայությունները կարգավորող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Համացանցային կայքի անվտանգության հավաստագրի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հանրային ծառայությունները կարգավորող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Համացանցային կայքի անվտանգության հավաստագրի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ՀԾԿՀ-24/4-ԷԱՃԾՁԲ</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eshadyan@psrc.am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Համացանցային կայքի անվտանգության հավաստագրի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կայքի անվտանգության հավաստագիր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411.46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2024.11.26.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ՀԾԿՀ-24/4-ԷԱՃԾՁԲ</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հանրային ծառայությունները կարգավորող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ՀԾԿՀ-24/4-ԷԱՃԾՁԲ</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«ՀԾԿՀ-24/4-ԷԱՃԾՁԲ»*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ՀԾԿՀ-24/4-ԷԱՃԾՁԲ*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«ՀԾԿՀ-24/4-ԷԱՃԾՁԲ»*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ՀԾԿՀ-24/4-ԷԱՃԾՁԲ*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կայքի անվտանգության հավաստագիր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Դոմենի և դրա անսահմանափակ քանակով ենթադոմենների (առաջին կարգի) անվտանգության ապահովում, 2048 բիթային թվային ստորագրություններ էսէյջէյ2 հեշ ալգորիթմով և 256 բիթային կոդավորմամբ (2048 bit digital signatures with sha2 hash algorithm and 256 bit encryption), 99% բրաուզերի ճանաչումով (99% browser recognition), ստատիկ կայքի կնիքով (static site seal), և՛ www և՛ ոչ www կայքերի համար նախատեսված վավերացումով (Certificate for both www and non www), բոլոր տարածված բրաուզերների հետ համատեղելիությամբ, domain.com և www.domain.com տարբերակների պաշտպանությամբ, դոմեյնի կառավարման մակարդակով վավերացմամբ Կոմոդո ԷսԷսԷլ (Comodo positive SSL wildcard) համացանցային կայքի անվտանգության հավաստագիր 2 տարի գործողության ժամկետով: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2017 թվականի մայիսի 4-ի N526-Ն որոշմամբ հաստատված կարգի 33-րդ կետի 18-րդ ենթակետով սահմանված լիազորված մարմնի կողմից գործարքի հաշվառման օրվանից մինչև 2024 թվականի դեկտեմբերի 25-ը՝ ըստ պատվիրատուի պահանջի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կայքի անվտանգության հավաստագիր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