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с талонами, цетановое число не менее 51, цетановый индекс не менее 46, плотность при 15 0 С от 820 до 845 кг/м3, содержание серы не более 350 мг/кг, температура вспышки 55 0 не ниже. С, Углеродный остаток в 10%-ном осадке не более 0,3%, вязкость при 400С от 2,0 до 4,5 мм2/с, температура помутнения не выше 0 0 С. Доставка по купону. Купоны должны быть действительны не менее 12 месяцев с даты поставки и должны обслуживаться в Ереване (минимум одна АЗС в каждом административном районе) и во всех регионах Республики Армения. Безопасность, маркировка и упаковка согласно постановлению правительства РА от 2004 года. «Технический регламент на топливо для двигателей внутреннего сгорания», утвержденный решением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