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праздничных светильников для нужд Мартунского дома общины Гегаркуникской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ԳՄՄՀ-ԷԱՃԱՊՁԲ-24/17</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праздничных светильников для нужд Мартунского дома общины Гегаркуникской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праздничных светильников для нужд Мартунского дома общины Гегаркуникской области РА.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праздничных светильников для нужд Мартунского дома общины Гегаркуникской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полосы света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385.5</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полосы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Световая цепь с параллельным подключением 220В, с 2-7 плохими светодиодными лампами, закрепленными на стене, расстояние между патронами 20 см, цвет света белый или желтый (по предварительному согласованию с заказчиком), длина одной легкой цепи не менее 100 метров (по согласованию с заказчиком), необходимо поставить максимум 4 легкие цепи. Легкая цепь должна соответствовать как минимум системе водонепроницаемости и морозостойкости IP65. Предлагаемое изделие должно включать в себя схему освещения, лампы, соответствующие количеству патронов в цепи, крепеж для настенного монтажа и 2 регулятора мощности достаточной мощности, каждый из которых должен обеспечивать постоянный ток не менее 200 метров цепи.
Вся поставляемая продукция должна быть необработанной, в соответствующей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метров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полосы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