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светодиодных ламп и навесных замков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светодиодных ламп и навесных замков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светодиодных ламп и навесных замков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светодиодных ламп и навесных замков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(светодиодный тип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(светодиодные мощностью 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небольшого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большого размера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(светодиодный тип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мощность 15 Вт, Напряжение питания 220-240 вольт, световой спектр 3500 (+/-700) кельвинов, цилиндр E27, грушевидная форма, яркость света 1200 (+/-150) люмен, срок службы не менее 25 000 часов, угол освещения не менее 2200. Предоставляется гарантия 1 год, в случае поломки в течение гарантийного срока лампа заменяется на новую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(светодиодные мощностью 60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мощность 60 Вт, Напряжение питания 220-240 вольт, световой спектр 6500 (+/-600) кельвинов, светодиод E27, яркость света 4500 (+/-500) люмен, непрозрачная грушевидная часть прожектора в 1 секцию, срок службы не менее 25 000 часов, угол освещения не менее 2000. Предоставляется гарантия 1 год, в случае поломки в течение гарантийного срока лампа заменена на новую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небольшого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навесной замок, изготовленный из стали, размером 60x40x18 мм (+/-10%). толщина навесного стержня 7-8 мм, высота 40-50 мм, не менее трех ключей, ГОСТ 538-2001 или аналогичный. запирание замка не должно производиться нажатием. запирание и отпирание должны выполняться исключительно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навесной замок, изготовленный из стали, размером 70x40x18 мм (+/-10%). толщина навесного стержня 8-10 мм, высота 50-60 мм, не менее трех ключей, ГОСТ 538-2001 или аналогичный. запирание замка не должно производиться нажатием. Запирание и отпирание должны выполняться исключительно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подвесные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навесной замок, изготовленный из стали, размером 80x40x18 мм (+/-10%). толщина навесного стержня 10-12 мм, высота 50-60 мм, не менее трех ключей, ГОСТ 538-2001 или аналогичный. запирание замка не должно производиться нажатием. Запирание и отпирание должны выполняться исключительно ключом: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