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ՀԾԿՀ-25/2-ԷԱՃԱՊՁԲ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և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Շադյան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eshadyan@psrc.am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ՀԾԿՀ-25/2-ԷԱՃԱՊՁԲ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և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և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ՀԾԿՀ-25/2-ԷԱՃԱՊՁԲ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eshadyan@psrc.am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և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ՀԾԿՀ-25/2-ԷԱՃԱՊՁԲ</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ՀԾԿՀ-25/2-ԷԱՃԱՊՁԲ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ՀԾԿՀ-25/2-ԷԱՃԱՊՁԲ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ՀԾԿՀ-25/2-ԷԱՃԱՊՁԲ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ՀԾԿՀ-25/2-ԷԱՃԱՊՁԲ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«ՀԾԿՀ-25/2-ԷԱՃԱՊՁԲ»*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ՀԾԿՀ-25/2-ԷԱՃԱՊՁԲ*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«ՀԾԿՀ-25/2-ԷԱՃԱՊՁԲ»*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ՀԾԿՀ-25/2-ԷԱՃԱՊՁԲ*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18X13.5 սմ չափերով, գործողությունները ցուցադրումով վահանակի վրա,  սնուցման 2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ռոլերային Uniball  ֆիրմայի կամ համարժեք,  fine Deluxe UB-177 մոդելի կամ համարժեք, պատյանը պլաստիկ, ոչ թափանցելի, ջրակայուն, գծի հաստությունը 0.7-1 մմ,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ուղղիչով և լուծիչով հավաքածու, 20մլ չափաքանակով: Ուղղիչ հեղուկը վրձինով, նախատեսված է ուղղելու ցանկացած թղթի վրա գրված տեքստը, իսկ լուծիչը օգտագործվում է չորացած ուղղիչը վերականգնելու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էջաբաժանիչ, նշումների համար, կպչուն, 45մմ x 12մմ, 5 գույն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50 միկրոն, A4 ձևաչափի թղթերի համար,արագակարներին ամրացնելու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թղթապանակ ստվարաթղթե կազմով, մետաղյա ամրացման հարմարանքով, A4 (210x297)մմ ձևաչափի թղթերի համար, 2.5-3.0 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 մմ ձևաչափի թղթերի համար, 7սմ լայնությամբ
գունը՝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 մմ ձևաչափի թղթերի համար, 4սմ լայնությամբ
գունը՝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մետաղական իրանով, 24/6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ձևաչափի, չկավճած թուղթ, օգտագործվում է տպագրման համար, թելիկներ չպարունակող,  մեխանիկական եղանակով ստացված, խտությունը 80 գ/մ2 (210X297) մմ, առնվազն C դասի: Փաթեթավորած տուփով՝ 500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Ա4, կավճապատ 300գր
գունը՝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սոսնձվացքով 1,25 մմ-ից ոչ պակաս, չափսերը 7.6x7.6սմ դեղին գույնի, 100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90մմ x 90մմ, մեկ տուփի մեջ 100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19մմ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