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ՀԾԿՀ-25/4-ԷԱՃԱՊՁԲ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հանրային ծառայությունները կարգավորող հանձնաժողով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Սարյան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Կոշեցյան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hkoshetsyan@psrc.am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015580808-116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հանրային ծառայությունները կարգավորող հանձնաժողով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ՀԾԿՀ-25/4-ԷԱՃԱՊՁԲ</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հանրային ծառայությունները կարգավորող հանձնաժողով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հանրային ծառայությունները կարգավորող հանձնաժողով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հանրային ծառայությունները կարգավորող հանձնաժողով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ՀԾԿՀ-25/4-ԷԱՃԱՊՁԲ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hkoshetsyan@psrc.am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Обьявление о закупках на получение компьютерных и копированных оборудований и подсобных материалов с кодом ՀԾԿՀ-25/4-ԷԱՃԱՊՁԲ для нужд Комиссии по регулированию общественных услуг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ՀԾԿՀ-25/4-ԷԱՃԱՊՁԲ</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հանրային ծառայությունները կարգավորող հանձնաժողով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"ՀԾԿՀ-25/4-ԷԱՃԱՊՁԲ"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ՀԾԿՀ-25/4-ԷԱՃԱՊՁԲ*.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"ՀԾԿՀ-25/4-ԷԱՃԱՊՁԲ"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հանրային ծառայությունները կարգավորող հանձնաժողով*(далее — Заказчик) процедуре закупок под кодом ՀԾԿՀ-25/4-ԷԱՃԱՊՁԲ*.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ՀԾԿՀ-25/4-ԷԱՃԱՊՁԲ</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картридж HP CF 230A (N30A) или аналог, который должен соответствовать  техническим стандартам оригинального, для лазерного принтера МФУ HP LaserJet Pro M227sdn. Рабочий ресурс - 1600 страниц в соответствии с ISO / IEC 19752.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картридж HP78A (CE278A) или аналог, который должен соответствовать  техническим стандартам оригинального, для лазерного принтера HP LJ Pro M1536dnf MFP. Рабочий ресурс - 2100 страниц в соответствии с ISO / IEC 19752.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картридж 60F2000 для 2-го региона или 60F200E (602E) или аналог, который должен соответствовать  техническим стандартам оригинального, для лазерного принтера Lexmark MX-410de. Рабочий ресурс - 2500 страниц в соответствии с ISO / IEC 19752. Общий вес упаковки - не менее 830 грамм, из которых тонер - не менее 75 грамм. Размер упаковки: не менее 181x399x137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картридж HP 51A (Q7551A) для лазерного принтера HP LJ P3005 (HP LJ P3005) или аналогичный, который должен соответствовать техническим стандартам оригинала. Рабочий ресурс – 6500 страниц по стандарту ISO/IEC 19752. Если картриджи производятся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LJ P2055 (HP LJ P2055) используйте оригинальный картридж HP 05A (CE505A) или эквивалентный, который должен соответствовать оригинальным техническим стандартам. Рабочий ресурс – 2300 страниц по стандарту ISO/IEC 19752. Если картриджи производятся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LJ M15A используйте оригинальный картридж HP 44A (CF244A) HP 44A (CF244A) или его эквивалент, который должен соответствовать оригиналу. Рабочий ресурс – 1000 страниц по стандарту ISO/IEC 19752. Если картриджи производятся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057 оригинальный картридж или его эквивалент для принтера Canon i-SENSYS 453dw, рабочий ресурс картриджа 3100 страниц, который должен соответствовать техническим характеристикам оригинала по стандарту ISO 19798. Если картридж изготавливается по зонам, укажите тип, соответствующий зоне, предназначенной для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картриджи или аналоги, которые должны соответствовать техническим стандартам оригинального картриджа, для принтера Canon PIXMA iX6840 (все цвета должны быть включены в одну единицу).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картриджи 729Bk, 729C, 729Y и 729M или аналоги, которые должны соответствовать техническим стандартам оригинального картриджа, для принтера Canon i-SENSYS LBP7018C (все цвета должны быть включены в одну единицу) 
Рабочий ресурс 729 Bk (729Bk) - 1200 страниц, 729 C (729C) - 1000 страниц, 729 Y (729Y) - 1000 страниц, 729 Em (729M) - 1000 страниц по стандарту ISO 19798.. Если картриджи изготавливаются по регионам, то поставляется картридж соответствующий региону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Օригинальный блок формирования изображения Imaging Unit 500Z, или аналог, который должен соответствовать  техническим стандартам оригинального для принтера Lexmark MX-410de. Ресурс работы - 60 000 страниц. Общий вес упаковки 2 кг. Размеры упаковки: 330х490х160 мм. Если устройство производится по зонам, то поставляется модель соответствующая зоне данного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лазерного принтера HP LJ Pro M227 Sdn используйте оригинальный барабанный комплект HP 32A (CF232A) HP 32A (CF232A) или его эквивалент, который должен соответствовать характеристикам оригинала. Барабанная установка имеет чип, при установке в многофункциональное устройство замена чипа не требуется. Ресурс работы - 23000 страниц по стандарту ISO/IEC 19752.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Носитель, Флэш-память, 128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 двумя кнопками (левой и правой) и колесом прокрутки, которое может работать как третья кнопка. Интерфейс: USB, Совместимость: Windows 10/2000 / XP / Vista / 7/8/10, Размер не менее 60 x 37 x 105 мм, Ширина не менее 1,8 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Kомпьютерная клавиатура Genius KB 110 или эквивалентная, которая должна соответствовать техническим стандартам оригинальной клаватуры. Интерфейс: USB, Совместимость: Windows 10/2000 / XP/ Vista / 7/8/10, Размер: не менее 467 х 40 х 200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процессора компьютера Intel Core i7 — 14700Кей 5,60 ГГц (INTEL CORE i7 — 14700k 5,60 ГГц) или эквивалентный, , SSD-накопитель Kingston A400 960 ГБ или аналогичный, материнская плата Asus B760 (MB Asus B760) или аналогичный, Оперативная память 32 ГБ 5600 МГц DDR5, тип видеокарты: встроенная или внешняя, Привод оптических дисков DVD-RW, Корпус 600Вт, Lan 10/100/1000 Мбит/с (Lan 10/100/1000 Мбит/с) встроенный. Гарантийный срок на товар составляет 365 календарных дней со дня, следующего за днем принятия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XPRINTER XP-235B, 58 мм или аналогичный.
Скорость печати 50,8–101 мм/с, максимальная ширина печати: 56 мм, память: 64 КБ SDRAM / 4 МБ флэш-ПЗУ.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LG 27MK430H-B или аналогичный, Размер экрана: 27" Тип экрана: IPS: Разрешение экрана: Full HD (1920x1080) Соотношение сторон. 16: 9: Частота обновления экрана. 75Hz Время отклика (мс): 5 мс: Яркость. 250 кд / м2: Входы: 1xVGA; 1xHDMI; Гарантийный срок на товар составляет 365 календарных дней со дня, следующего за днем получения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LG 24MR400-B или аналогичный, Размер экрана: 24" Тип экрана: IPS: Разрешение экрана: Full HD (1920x1080) Соотношение сторон. 16: 9: Частота обновления экрана. 75Hz Время отклика (мс): 5 мс: Яркость. 250 кд / м2: Входы: 1xVGA; 1xHDMI; Гарантийный срок на товар составляет 365 календарных дней со дня, следующего за днем получения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 453 olw или аналогичный Тип принтера: монохромный лазер, многофункциональный (печать, сканирование, копирование) Печать․ Скорость печати: не менее 40 ppm (A4), Double sided: Up to 33.6 M (A4) Разрешение печати: не менее 1200 x 1200 dpi) Максимальное время печати первой страницы: 5.0 секунды Языки принтера: UFRII, HAL 5e, HAL6, Adobe ® PostScript3 Копирование․ Скорость копирования: не менее 40 ppm (A4), Double sided (A4): Up to 33.6 M Двустороннее копирование Максимальное время печати первой копии: 6.1 credian (A4) Разрешение на копирование: не менее 600 x 600 dpi Умножение: до 999 копий Уменьшение/увеличение изображения: 25-400% Шаг 1%. Сканирование․ цветной Разрешение сканирования: оптическое не менее 600 x 600 dpi, расширенное максимум 9600 x 9600 dpi Глубина цвета: не менее 24 бит Шкала серого: не менее 256 градусов Типы файлов сканирования: TIFF/JPEG/PDF / Compact PDF / Searchable PDF Совместимость: TWAIN, via,ICA. Объем входной бумажной полки: не менее 250 листов Выходная стойка для бумаги: не менее 150 листов Размер печатной бумаги: A4, A5, A5 (пейзаж), A6, B5, Legal, Letter, , Statement, OFFICIO, B-OFFICIO, M-OFFICIO, GLTR, GLGL, Foolscap, 16C, пользовательские настройки. 105 x 148 мм Макс. 216.0 x 355.6 мм. Вес печатной бумаги: 60 ~ 199 г/м2 Подключение к компьютеру через USB 2.0 Hi-speed (кабель подключения должен быть включен в устройство), возможность подключения через Wi-Fi и подключение к локальной компьютерной сети (Gigabit Ethernet RJ-45). Дополнительные данные: максимальная ежемесячная загрузка 80000 страниц, Скорость процессора: не менее 1200MHz, оперативная память: не менее 1 ГБ, Размеры: 420x460x375. Эл. питание переменного тока 220～240 В: 50/60 Гц (шнур питания должен быть включен в устройство). Гарантия: не менее 1 года: Комплектация и упаковка заводское, гарантийное обслуживание в официальном сервисном центре производителя в РА (при представлении технических характеристик предлагаемого товара, предусмотренных приглашением, предоставляются также данные сервисного центра).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APC Easy-UPS BV800I-GR или аналогичный, Мощность: 450 Вт, Полная мощность: 800 ВА, Емкость аккумулятора: 7 Ач, Время перезарядки: 8 часов, Напряжение: 170–280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ресурсов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ресурсов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средств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осуществляется с этой целью при наличии соответствующих финансовых средств и на основании заключения соответствующего договора между сторонами, в течение 20 календарных дней со дня, следующего за днем ​​получения отчета Министерства финансов РА. права и обязанности сторон по договору.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270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Aprank’i matakararumn irakanats’vum e ayd npatakov hamapataskhan finansakan mijots’neri arrkayut’yan yev dra himan vra koghmeri mijev hamapataskhan hamadzaynagri knk’man himan vra, hamadzaynagrov nakhatesvats koghmeri iravunk’nery yev partakanut’yunnery HH finansaneri nakhararut’yan koghmits’ hashvarrvats linelu hajord orvanits’, 180 orats’uts’ayin orva ynt’ats’k’um. Ցույց տալ ավելին 362 / 5 000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финансовых средств и на основании заключения соответствующего договора между сторонами, в течение 90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Сарьян,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для этой цели при наличии соответствующих денежных средств и на основании заключения соответствующего договора между сторонами в течение 180 календарных дней со дня после регистрации Министерством финансов РА права и обязанности сторон, предусмотренные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