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ՔԿԾ-ԷԱՃԱՊՁԲ-24/47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բենզինային և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ՔԿԾ-ԷԱՃԱՊՁԲ-24/47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բենզինային և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բենզինային և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ՔԿԾ-ԷԱՃԱՊՁԲ-24/47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բենզինային և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ՔԿԾ-ԷԱՃԱՊՁԲ-24/47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ՔԿԾ-ԷԱՃԱՊՁԲ-24/47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ՔԿԾ-ԷԱՃԱՊՁԲ-24/47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ՔԿԾ-ԷԱՃԱՊՁԲ-24/47»*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ՔԿԾ-ԷԱՃԱՊՁԲ-24/47»*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100կՊա, կապարի պարունակությունը 5մգ/դմ3-ից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իզոբուտիլ սպիրտ-10%, եռաբուտիլ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առնվազն մեկ լիցքավորման կետի առկայություն, իսկ յուրաքանչյուր մարզկենտրոնում՝ առնվազն մեկ լիցքավորման 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820-ից մինչև 845կգ/մ3, ծծմբի պարունակությունը 10մգ/կգ-ից ոչ ավելի, բռնկման ջերմաստիճանը  550C ոչ ցածր, ածխածնի մնացորդը 10% նստվածքում 0,3%-ից ոչ ավելի, մածուցիկությունը  400C-ում  2,0-ից մինչև  4,5մմ2/վ, պղտորման ջերմաստիճանը`  50C-ից ոչ բարձր,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առնվազն մեկ լիցքավորման կետի առկայություն, իսկ յուրաքանչյուր մարզկենտրոնում՝ առնվազն մեկ լիցքավորման կետի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4- 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4- 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