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ԱՍՀՆ-ՊՈԱԿ-ԷԱՃԱՊՁԲ-25/7-Գ-1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Детский сад Гавара ГНКО 2025 года. приобретение снаряжения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ԱՍՀՆ-ՊՈԱԿ-ԷԱՃԱՊՁԲ-25/7-Գ-1</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Детский сад Гавара ГНКО 2025 года. приобретение снаряжения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Детский сад Гавара ГНКО 2025 года. приобретение снаряжения для нужд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ԱՍՀՆ-ՊՈԱԿ-ԷԱՃԱՊՁԲ-25/7-Գ-1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Детский сад Гавара ГНКО 2025 года. приобретение снаряжения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газовой плиты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или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обеда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 (для ковровых покрытий)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389.19</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410.52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ԱՍՀՆ-ՊՈԱԿ-ԷԱՃԱՊՁԲ-25/7-Գ-1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"ԱՍՀՆ-ՊՈԱԿ-ԷԱՃԱՊՁԲ-25/7-Գ-1"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ԱՍՀՆ-ՊՈԱԿ-ԷԱՃԱՊՁԲ-25/7-Գ-1*.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"ԱՍՀՆ-ՊՈԱԿ-ԷԱՃԱՊՁԲ-25/7-Գ-1"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ԱՍՀՆ-ՊՈԱԿ-ԷԱՃԱՊՁԲ-25/7-Գ-1*.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ԱՍՀՆ-ՊՈԱԿ-ԷԱՃԱՊՁԲ-25/7-Գ-1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синее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удаления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поверхности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Чистка газовой плиты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палочки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для ногтей или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обеда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тарелка десертная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Кухонный нож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Горшок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Шерстяные нитки (для ковровых покрытий)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гр.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для этой цели осуществляется при наличии соответствующих финансовых средств и заключении на его основе соответствующего договора между сторонами, по требованию Заказчика и после вступления договора в силу до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