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Уголовно-исполнительное служба министерсва юстиции РА обьявляет запрос услуг по дезинфекцированию и по борьбе с паразитоми.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ՔԿԾ-ԷԱՃԾՁԲ-25/2</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Уголовно-исполнительное служба министерсва юстиции РА обьявляет запрос услуг по дезинфекцированию и по борьбе с паразитоми.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Уголовно-исполнительное служба министерсва юстиции РА обьявляет запрос услуг по дезинфекцированию и по борьбе с паразитоми.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Уголовно-исполнительное служба министерсва юстиции РА обьявляет запрос услуг по дезинфекцированию и по борьбе с паразитоми.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(деретизационные, дезинсекционные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2024.12.05.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ՔԿԾ-ԷԱՃԾՁԲ-25/2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дезинфекции и уничтожения паразитов (деретизационные, дезинсекционные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1.Услуга дезинфекции и уничтожения паразитов (деретизационная) по данным Министерства здравоохранения РА,  утвержденным указом 13–Ն от 16.07.2010г. главой ««Требования по организации и осуществлению мероприятий по уничтожению грызунов, защите от них,  в процессе борьбы против грызунов»»  под заголовком «Санитарные правила и нормы по организации и проведению работ по дезинфекции, уничтожению грызунов и насекомых и по охране здоровья работников». 
Услугу провести механическими методами: ловушками, липкими ловушками для грызунов, пестицидами:  бродефан, ланират или  эквивалентными средствами. Услугу осуществлять два раза в месяц.
2.Услуга дезинфекции и уничтожения паразитов (дезинсекция)  по данным Министерства здравоохранения РА,  утвержденным указом 13–Ն от 16.07.2010г. главой ««Требования по организации и осуществлению мероприятий по уничтожению грызунов, защите от них,  в процессе борьбы против грызунов»». Услугу провести механическими методами: липкими ловушками  для грызунов и пестицидами: циперметрин и эквивалентные ему инсектициды. Услугу осуществлять два раза в месяц. Используемые вещества и пестициды не запрещены ООН и разрешены Министерством здравоохранения РА. Услуги осуществлять средствами и рабочей силой сервисной организации. Сервисная организация должна быть обеспечена хранилищами пестицидов и  испытательной лабораторией.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учреждения уголовно-исполнительной службы МЮ РА, см. в графе адрес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До 25.12.2025г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