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ՀԿԱԾ-ԷԱՃԱՊՁԲ-25/2 ծածկագրով ՀԿԱԾ կարիքների համար թուղթ, Ա4 ֆորմատի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ՀԿԱԾ-ԷԱՃԱՊՁԲ-25/2 ծածկագրով ՀԿԱԾ կարիքների համար թուղթ, Ա4 ֆորմատի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ՀԿԱԾ-ԷԱՃԱՊՁԲ-25/2 ծածկագրով ՀԿԱԾ կարիքների համար թուղթ, Ա4 ֆորմատի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ՀԿԱԾ-ԷԱՃԱՊՁԲ-25/2 ծածկագրով ՀԿԱԾ կարիքների համար թուղթ, Ա4 ֆորմատի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/21x29.7/ А4, չկավճած, օգտագործվում է տպագրման համար, թելիկներ չպարունակող,  մեխանիկական եղանակով ստացված, խտությունը առնվազն 80 գ/մ2, (210X297) մմ, գույնը սպիտակ.: Տուփում 500 հատ։ Որակյալ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