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на топливо для двигателей внутреннего сгорания», утвержденный решением N 1592 от 11 ноября.
 Припас: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400°С: от 2,0 до 4,5 мм2/с. Температура помутнения: не выше 5 0С. Безопасность, маркировка и упаковка в соответствии с Постановлением Правительства РА от 2004 года. «Технический регламент топлива для двигателей внутреннего сгорания», утвержденный постановлением N 1592 от 11 ноября. Припас: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