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ենթակայության  ՆՈՒՀ-երի կարիքների համար Սննդամթերքի ձեռքբերման գնման ընթացակարգ՝ԿՄՀՔ-էԱճԱՊՁԲ-25/01 ծածկագրով ։</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ենթակայության  ՆՈՒՀ-երի կարիքների համար Սննդամթերքի ձեռքբերման գնման ընթացակարգ՝ԿՄՀՔ-էԱճԱՊՁԲ-25/01 ծածկագրով ։</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ենթակայության  ՆՈՒՀ-երի կարիքների համար Սննդամթերքի ձեռքբերման գնման ընթացակարգ՝ԿՄՀՔ-էԱճԱՊՁԲ-25/01 ծածկագրով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ենթակայության  ՆՈՒՀ-երի կարիքների համար Սննդամթերքի ձեռքբերման գնման ընթացակարգ՝ԿՄՀՔ-էԱճԱՊՁԲ-25/01 ծածկագրով ։</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24769920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նեпредставлен 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