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ՈՒԱԿ-ԷԱՃԱՊՁԲ-25/27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ՈՒԱԿ-ԷԱՃԱՊՁԲ-25/27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ուղիղաղիքային ,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լուծույթ ներքին ընդունման	670մգ/մլ;  100մլ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լուծույթ ներարկման 200մգ/մլ;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 1000մգ+200մգ;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j01dh02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դեղափոշի ն/ե ներարկման/կաթիլաներարկման լուծույթի;1000մգ;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100մգ/մլ;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նատրիում լուծույթ ն/ե և մ/մ ներարկման 500մգ/մլ;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"դիօքսիդին 	լուծույթ	10մգ/մլ;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լուծույթ կաթիլաներարկման ,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լուծույթ կաթիլաներարկման    50 մլ/10մգ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N01BB58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պանտոպրազոլ (պանտոպրազոլ նատրիում), 	դեղափոշի ներարկման լուծույթի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արտաքին կիրառման100ՄՄ/գ+40մգ/գ+0,8մգ/գ;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40մգ/0,4մլ; նախալցված ներարակիչ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2,5մգ/մլ;   ամպուլներ 2մլ,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261 մկգ/մլ + 500 մկգ/մլ; 20 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 լուծույթ կաթիլաներարկման   50մգ/մլ; 3000մլ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դոքսոֆիլլին, դեղահատեր թաղանթապատ ,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ուծույթ ներարկման 40մգ/մլ;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իվաբրադին-C01EB17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լուծույթ մ/մ ներարկման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լուծույթի, ապակե սրվակ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