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2025թ. կարիքների համար ««Գրասենյակային նյութերի և գրենական պիտույքների&gt;&gt;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2025թ. կարիքների համար ««Գրասենյակային նյութերի և գրենական պիտույքների&gt;&gt;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2025թ. կարիքների համար ««Գրասենյակային նյութերի և գրենական պիտույքների&gt;&gt;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2025թ. կարիքների համար ««Գրասենյակային նյութերի և գրենական պիտույքների&gt;&gt;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շտրիխներ,ուղղիչ 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ԱՄՄՀ-ԷԱՃԱՊՁԲ-25/9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ԱՄՄՀ-ԷԱՃԱՊՁԲ-25/9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ԱՄՄՀ-ԷԱՃԱՊՁԲ-25/9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ԱՄՄՀ-ԷԱՃԱՊՁԲ-25/9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ԱՄՄՀ-ԷԱՃԱՊՁԲ-25/9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 ՀԱՄԱՅՆՔԻ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շտրիխներ,ուղղիչ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ներառյալ՝ ըստ ներկայացված պատվերների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