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ԱՍՀՆ-ՊՈԱԿ-ԷԱՃԱՊՁԲ-25/6-ԳՇ-1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«Շիրակի մարզի երեխայի և ընտանիքի աջակցության կենտրոն»  և «Գյումրու «Երեխաների տուն» ՊՈԱԿ-ների 2025թ. կարիքների համար տնտեսական սանիտարահիգիենիկ և մաքրող միջոցների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ԱՍՀՆ-ՊՈԱԿ-ԷԱՃԱՊՁԲ-25/6-ԳՇ-1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«Շիրակի մարզի երեխայի և ընտանիքի աջակցության կենտրոն»  և «Գյումրու «Երեխաների տուն» ՊՈԱԿ-ների 2025թ. կարիքների համար տնտեսական սանիտարահիգիենիկ և մաքրող միջոցների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«Շիրակի մարզի երեխայի և ընտանիքի աջակցության կենտրոն»  և «Գյումրու «Երեխաների տուն» ՊՈԱԿ-ների 2025թ. կարիքների համար տնտեսական սանիտարահիգիենիկ և մաքրող միջոցների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ԱՍՀՆ-ՊՈԱԿ-ԷԱՃԱՊՁԲ-25/6-ԳՇ-1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«Շիրակի մարզի երեխայի և ընտանիքի աջակցության կենտրոն»  և «Գյումրու «Երեխաների տուն» ՊՈԱԿ-ների 2025թ. կարիքների համար տնտեսական սանիտարահիգիենիկ և մաքրող միջոցների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լվացքի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կամ այլ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/քլորային ախտահանիչ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մեքենայի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Քսուքներ՝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ձողափայտ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 պլաստմասե/1/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 պլաստմասե/2/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սափոր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Բրդյա թելեր/գորգագործության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ԱՍՀՆ-ՊՈԱԿ-ԷԱՃԱՊՁԲ-25/6-ԳՇ-1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ԱՍՀՆ-ՊՈԱԿ-ԷԱՃԱՊՁԲ-25/6-ԳՇ-1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ԱՍՀՆ-ՊՈԱԿ-ԷԱՃԱՊՁԲ-25/6-ԳՇ-1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ԱՍՀՆ-ՊՈԱԿ-ԷԱՃԱՊՁԲ-25/6-ԳՇ-1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ԱՍՀՆ-ՊՈԱԿ-ԷԱՃԱՊՁԲ-25/6-ԳՇ-1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«ԱՍՀՆ-ՊՈԱԿ-ԷԱՃԱՊՁԲ-25/6-ԳՇ-1»*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ԱՍՀՆ-ՊՈԱԿ-ԷԱՃԱՊՁԲ-25/6-ԳՇ-1*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«ԱՍՀՆ-ՊՈԱԿ-ԷԱՃԱՊՁԲ-25/6-ԳՇ-1»*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ԱՍՀՆ-ՊՈԱԿ-ԷԱՃԱՊՁԲ-25/6-ԳՇ-1*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ԳՅՈՒՄՐՈՒ ԵՐԵԽԱՆԵՐԻ ՏՈՒՆ ԵՎ ՇԻՐԱԿԻ ՄԱՐԶԻ ԵՐԵԽԱՅԻ ԵՎ ԸՆՏԱՆԻՔԻ ԱՋԱԿՑՈՒԹՅԱՆ ԿԵՆՏՐՈՆ  ՊՈԱԿ ներին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լվացքի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կամ այլ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/քլորային ախտահանիչ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մեքենայի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Քսուքներ՝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ձողափայտ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 պլաստմասե/1/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 պլաստմասե/2/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31671100/503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սափոր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Բրդյա թելեր/գորգագործության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Գյումրի Շիրակացու փող., 10 շենք և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