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62359E2E" w14:textId="71F211A2" w:rsidR="0010496D" w:rsidRPr="004524BF" w:rsidRDefault="004524BF" w:rsidP="004524BF">
      <w:pPr>
        <w:jc w:val="both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i/>
          <w:sz w:val="16"/>
          <w:szCs w:val="16"/>
          <w:lang w:val="af-ZA"/>
        </w:rPr>
        <w:tab/>
      </w:r>
      <w:r>
        <w:rPr>
          <w:rFonts w:ascii="GHEA Grapalat" w:hAnsi="GHEA Grapalat" w:cs="Sylfaen"/>
          <w:i/>
          <w:sz w:val="16"/>
          <w:szCs w:val="16"/>
          <w:lang w:val="af-ZA"/>
        </w:rPr>
        <w:tab/>
      </w:r>
      <w:r>
        <w:rPr>
          <w:rFonts w:ascii="GHEA Grapalat" w:hAnsi="GHEA Grapalat" w:cs="Sylfaen"/>
          <w:i/>
          <w:sz w:val="16"/>
          <w:szCs w:val="16"/>
          <w:lang w:val="af-ZA"/>
        </w:rPr>
        <w:tab/>
      </w:r>
      <w:r>
        <w:rPr>
          <w:rFonts w:ascii="GHEA Grapalat" w:hAnsi="GHEA Grapalat" w:cs="Sylfaen"/>
          <w:i/>
          <w:sz w:val="16"/>
          <w:szCs w:val="16"/>
          <w:lang w:val="af-ZA"/>
        </w:rPr>
        <w:tab/>
      </w:r>
      <w:r>
        <w:rPr>
          <w:rFonts w:ascii="GHEA Grapalat" w:hAnsi="GHEA Grapalat" w:cs="Sylfaen"/>
          <w:i/>
          <w:sz w:val="16"/>
          <w:szCs w:val="16"/>
          <w:lang w:val="af-ZA"/>
        </w:rPr>
        <w:tab/>
      </w: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134"/>
        <w:gridCol w:w="1275"/>
        <w:gridCol w:w="3686"/>
        <w:gridCol w:w="851"/>
        <w:gridCol w:w="851"/>
        <w:gridCol w:w="1133"/>
        <w:gridCol w:w="710"/>
        <w:gridCol w:w="992"/>
        <w:gridCol w:w="850"/>
        <w:gridCol w:w="2126"/>
      </w:tblGrid>
      <w:tr w:rsidR="00F1659F" w:rsidRPr="00720A0F" w14:paraId="282B3C88" w14:textId="77777777" w:rsidTr="00720A0F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0E5D30F1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F1659F" w:rsidRPr="00720A0F" w14:paraId="0C73FF12" w14:textId="77777777" w:rsidTr="00720A0F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1DBE02FA" w14:textId="00E44DED" w:rsidR="00F1659F" w:rsidRPr="00720A0F" w:rsidRDefault="00720A0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Չ</w:t>
            </w:r>
            <w:r w:rsidR="00F1659F" w:rsidRPr="00720A0F">
              <w:rPr>
                <w:rFonts w:ascii="GHEA Grapalat" w:hAnsi="GHEA Grapalat"/>
                <w:sz w:val="16"/>
                <w:szCs w:val="16"/>
              </w:rPr>
              <w:t>ափաբաժնի</w:t>
            </w:r>
            <w:proofErr w:type="spellEnd"/>
            <w:r w:rsidR="00F1659F"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F1659F" w:rsidRPr="00720A0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D84F4EF" w14:textId="7303587D" w:rsidR="00F1659F" w:rsidRPr="00720A0F" w:rsidRDefault="00720A0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Մ</w:t>
            </w:r>
            <w:r w:rsidR="00F1659F" w:rsidRPr="00720A0F">
              <w:rPr>
                <w:rFonts w:ascii="GHEA Grapalat" w:hAnsi="GHEA Grapalat"/>
                <w:sz w:val="16"/>
                <w:szCs w:val="16"/>
              </w:rPr>
              <w:t>իջանցիկ</w:t>
            </w:r>
            <w:proofErr w:type="spellEnd"/>
            <w:r w:rsidR="00F1659F"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F1659F" w:rsidRPr="00720A0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="00F1659F" w:rsidRPr="00720A0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="00F1659F" w:rsidRPr="00720A0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="00F1659F" w:rsidRPr="00720A0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="00F1659F" w:rsidRPr="00720A0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="00F1659F" w:rsidRPr="00720A0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0B52C93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117BBC47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մակիշը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3686" w:type="dxa"/>
            <w:vMerge w:val="restart"/>
            <w:shd w:val="clear" w:color="auto" w:fill="FFFFFF" w:themeFill="background1"/>
            <w:vAlign w:val="center"/>
          </w:tcPr>
          <w:p w14:paraId="52F29E19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40A808A9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9612499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shd w:val="clear" w:color="auto" w:fill="FFFFFF" w:themeFill="background1"/>
            <w:vAlign w:val="center"/>
          </w:tcPr>
          <w:p w14:paraId="6EC5B5F4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31E25092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968" w:type="dxa"/>
            <w:gridSpan w:val="3"/>
            <w:shd w:val="clear" w:color="auto" w:fill="FFFFFF" w:themeFill="background1"/>
            <w:vAlign w:val="center"/>
          </w:tcPr>
          <w:p w14:paraId="5239BF7D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1659F" w:rsidRPr="00720A0F" w14:paraId="5F2FB4C6" w14:textId="77777777" w:rsidTr="00720A0F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590D1527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5F15B2C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743974D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77104986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14:paraId="46E190E4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680545E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4317650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vMerge/>
            <w:shd w:val="clear" w:color="auto" w:fill="FFFFFF" w:themeFill="background1"/>
            <w:vAlign w:val="center"/>
          </w:tcPr>
          <w:p w14:paraId="48949E93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08943A22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86DDD4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5F8DFB1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20A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7AA3C54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18D930BE" w14:textId="77777777" w:rsidR="00F1659F" w:rsidRPr="00720A0F" w:rsidRDefault="00F1659F" w:rsidP="00720A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16F79" w:rsidRPr="00720A0F" w14:paraId="1C4AFC06" w14:textId="77777777" w:rsidTr="00720A0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AAC0BB" w14:textId="589A2ECE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B0ABAF" w14:textId="6111D7F9" w:rsidR="00016F79" w:rsidRPr="00720A0F" w:rsidRDefault="00016F79" w:rsidP="00720A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403931"/>
                <w:sz w:val="16"/>
                <w:szCs w:val="16"/>
              </w:rPr>
              <w:t>33731120/515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B74C30" w14:textId="2E699ED1" w:rsidR="00016F79" w:rsidRPr="00720A0F" w:rsidRDefault="00016F79" w:rsidP="00720A0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փափուկ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3F2B1B2" w14:textId="24FE8E65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097AEA3" w14:textId="5A98ED3B" w:rsidR="00016F79" w:rsidRPr="004524BF" w:rsidRDefault="00E35933" w:rsidP="00720A0F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proofErr w:type="spellStart"/>
            <w:proofErr w:type="gram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կատեգորիա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ոսպնյակներ,Ներակնային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Խելացի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մատրիցա,Ներակնային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նյութը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` 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Փոխներթափանցող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պոլիմերային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ցանց,հիդրոֆոբ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Հիդրոֆիլային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ակրիլ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ջրի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25%) 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մակերեսի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բնույթը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Ինտեգրված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3D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հիդրոֆոբ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մակերես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հատկություններ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Ասֆերային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կտոր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ծալովի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դեղին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ակրիլ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13.00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մմ:Ոսպնյակի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չափսը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6.00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կառուցվածքը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Biconvex:Հապտիկաի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C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մոդիֆիկացիա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հապտիկաների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անկյունը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0°: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Պոզիցիոն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անցքերի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քանակը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0:Ներակնային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A-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կոնստանտը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118.0: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Abbe–ի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թիվը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58:Ոսպնյակի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բեկման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ինդեքսը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1,462:Ոսպնյակի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լրացուցիչ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տեղեկություններ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Կապույտ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լույսի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զտիչ,ուլտրամանուշակագույն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ճառագայթումը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կլանող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կենսահամատեղելի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եզրային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360°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քառակուսի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եզր:Ոսպնյակի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դիոպտերի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աճման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կարգը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Ստանդարտ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հատված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։</w:t>
            </w:r>
            <w:proofErr w:type="gram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Կես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դիոպտրիայով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՝    0</w:t>
            </w:r>
            <w:proofErr w:type="gram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,0</w:t>
            </w:r>
            <w:proofErr w:type="gram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-ից +32.0 ,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Հատուկ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հատված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Կես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դիոպտրիայով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 –20,0-ից -0,5  և +32.5-ից +45.0: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Քաթրիջի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մեկանգամյա:Քաթրիջի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ծայրի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տրամագիծը</w:t>
            </w:r>
            <w:proofErr w:type="spellEnd"/>
            <w:r w:rsidRPr="004524BF">
              <w:rPr>
                <w:rFonts w:ascii="GHEA Grapalat" w:hAnsi="GHEA Grapalat"/>
                <w:color w:val="000000"/>
                <w:sz w:val="16"/>
                <w:szCs w:val="16"/>
              </w:rPr>
              <w:t>՝  1,8-2,2մմ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138D2A" w14:textId="4831DB4F" w:rsidR="00016F79" w:rsidRPr="00720A0F" w:rsidRDefault="00016F79" w:rsidP="00720A0F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1B57F4" w14:textId="026347E9" w:rsidR="00016F79" w:rsidRPr="00720A0F" w:rsidRDefault="00016F79" w:rsidP="00720A0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0A015B" w14:textId="0F35AB65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35000000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1DE2F879" w14:textId="48FFF499" w:rsidR="00016F79" w:rsidRPr="00720A0F" w:rsidRDefault="00016F79" w:rsidP="00720A0F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62E977" w14:textId="5AAEF95F" w:rsidR="00016F79" w:rsidRPr="00720A0F" w:rsidRDefault="00016F79" w:rsidP="00720A0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720A0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720A0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8A333DA" w14:textId="05A19F96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808FFD2" w14:textId="1A1A4D9C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դեպպքում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կնքված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ուժի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մտնելու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օրվանից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ստանալուց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16F79" w:rsidRPr="00720A0F" w14:paraId="2D0413D7" w14:textId="77777777" w:rsidTr="00720A0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172A395" w14:textId="2E027293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FA7AD9" w14:textId="1E577949" w:rsidR="00016F79" w:rsidRPr="00720A0F" w:rsidRDefault="00016F79" w:rsidP="00720A0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403931"/>
                <w:sz w:val="16"/>
                <w:szCs w:val="16"/>
              </w:rPr>
              <w:t>33731120/516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47AA00" w14:textId="54A983B2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փափուկ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51B3AB" w14:textId="062E16B0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E666FA7" w14:textId="35F8AA39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12.00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չափսը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5.75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Էկվիկոնվեքս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Հապտիկաների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Մոդիֆիկացված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</w:t>
            </w: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հապտիկաների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անկյունը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0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աստիճան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Ներակնային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կառուցվածքը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կտորՊոզիցիոն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անցքերի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քանակը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0Ներակնային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նյութը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ակրիլ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(26%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ջրի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պարունակությամբ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Առաջային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խցիկի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խորությունը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5.22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մմՆերակնային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օպտիկական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A-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կոնստանտը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։ 118.43</w:t>
            </w: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դիոպտրների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աճման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կարգը:Մեկ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ամբողջական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դիոպտրիայով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-5.0-ից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+10.5 և +29.5-ից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+36.0: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Կես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դիոպտրիայով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+10.5-ից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+29.5:</w:t>
            </w: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Քարթրիջի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մեկանգամյա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Քարթրիջի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ծայրի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տրամագիծը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1.6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Քարթրիջի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ծայրիթեքությունը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45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աստիճան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Քարթրիջը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ծածկույթով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D62CE9" w14:textId="1FA71923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85DF47" w14:textId="687C11AE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D39190" w14:textId="3B4AC4D0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35000000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5E843B4B" w14:textId="1196480B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E3A15D" w14:textId="7C729D1B" w:rsidR="00016F79" w:rsidRPr="00720A0F" w:rsidRDefault="00016F79" w:rsidP="00720A0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720A0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720A0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4B21C96" w14:textId="54020892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FFFA25A" w14:textId="6D0FBB4D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դեպպքում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կնքված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ուժի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մտնելու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օրվանից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ստանալուց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016F79" w:rsidRPr="00720A0F" w14:paraId="1176CCCB" w14:textId="77777777" w:rsidTr="00720A0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C575D3C" w14:textId="2EF22DCC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A0D2EA" w14:textId="4D568405" w:rsidR="00016F79" w:rsidRPr="00720A0F" w:rsidRDefault="00016F79" w:rsidP="00720A0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403931"/>
                <w:sz w:val="16"/>
                <w:szCs w:val="16"/>
              </w:rPr>
              <w:t>33141212/593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C82842" w14:textId="31291B4E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Ներաչափումային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ոսպյունիկ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BD503B" w14:textId="1109501D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8BBC2A0" w14:textId="40E1F1DC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ՆՅՈՒԹ-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Հիդրոֆիլ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ակրիլ,Ջրի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26%,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Պաշտպանություն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UV 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Ռեֆրակցիոն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ինդեքս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1.46ԴԻԶԱՅՆ՝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Մոնոֆոկալ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շեղումներից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զերծ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ասֆերիկ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օպտիկա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Քառակուսի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հետևի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եզր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360°,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Մոնոբլոկ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IOL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չորս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կետանոց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ամրացմամբ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Օպտիկայի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տրամագիծը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6.0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15.5D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+22.0D, 6.2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+0.0D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+15.0D,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Ընդհանուր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տրամագիծը,11.0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0.0D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+15.0D ,10.7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+15.5D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+22.0D, 10.5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+22.5D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+30.0D,ԴԻՈՊՏՐԻԱ՝ 0.0D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+30.0D,0.0D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+10.0D (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քայլ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1.0D) , +10.0D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միչև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+30.0 (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քայլ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0.5D) 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Հաստատուն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*՝ Immersion A-scan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IOL Master , A-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հաստատուն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SRK/T: 118.5, ACD: 5.26,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Վիրաբուժական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գործոն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1.51,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Հաստատուն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Haigis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a0: 0.83 / a1 0.305 / a2: 0.191,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Applanation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A-scan А-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հաստատուն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118.0, ACD: 4.96,Վիրաբուժական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գործոն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1.22: *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Տրված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են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հաստատունների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մոտավոր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արժեքներ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Կրկնակի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handpiece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(BLIS-R1)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Գերազանց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վիրաբույժի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հսկողություն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հեշտություն՝Բարձրորակ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դիմացկուն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տիտանի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նյութ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հուսալիության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Պտուտակային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դիզայնը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թույլ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տալիս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հետևողական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կանխատեսելի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ոսպնյակների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առաքում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Պարզ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մաքրում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ստերիլիզացում:Մեկանգամյա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քարթրիջ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(BLIS-X1) Rear-loaded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քարթրիջ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որը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հեշտ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բեռնման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սահուն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առաքման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համար:Փոքր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2,2-ից 2,4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կտրվածքի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չափս:Bevel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tip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հեշտ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մուտք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գործելու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2629C5" w14:textId="37084C08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1D6CDE" w14:textId="545990D8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49000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E655B1" w14:textId="7BE75CA0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39200000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2F72475C" w14:textId="79921AB7" w:rsidR="00016F79" w:rsidRPr="00720A0F" w:rsidRDefault="00016F79" w:rsidP="00720A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286904" w14:textId="0F917941" w:rsidR="00016F79" w:rsidRPr="00720A0F" w:rsidRDefault="00016F79" w:rsidP="00720A0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720A0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720A0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720A0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20A0F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F519B10" w14:textId="5AE564E4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B6A221" w14:textId="2D5C5419" w:rsidR="00016F79" w:rsidRPr="00720A0F" w:rsidRDefault="00016F79" w:rsidP="00720A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դեպպքում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կնքված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ուժի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մտնելու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օրվանից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ստանալուց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720A0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00A795CB" w14:textId="23AB1EC6" w:rsidR="00F468F0" w:rsidRDefault="00F468F0" w:rsidP="007E7332">
      <w:pPr>
        <w:jc w:val="both"/>
        <w:rPr>
          <w:rFonts w:ascii="GHEA Grapalat" w:hAnsi="GHEA Grapalat" w:cs="Sylfaen"/>
          <w:i/>
          <w:sz w:val="16"/>
          <w:szCs w:val="16"/>
          <w:lang w:val="pt-BR" w:eastAsia="ru-RU"/>
        </w:rPr>
      </w:pPr>
    </w:p>
    <w:p w14:paraId="6A2B2C99" w14:textId="77777777" w:rsidR="007E7332" w:rsidRPr="007E7332" w:rsidRDefault="007E7332" w:rsidP="007E7332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3663491B" w14:textId="77777777" w:rsidR="00F468F0" w:rsidRPr="007E7332" w:rsidRDefault="00F468F0" w:rsidP="00F468F0">
      <w:pPr>
        <w:pStyle w:val="aff1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19F86029" w14:textId="77777777" w:rsidR="00F468F0" w:rsidRPr="007E7332" w:rsidRDefault="00F468F0" w:rsidP="00F468F0">
      <w:pPr>
        <w:pStyle w:val="aff1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2CEA9272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00E673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14:paraId="4395903F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5BCBA789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14:paraId="75BB1637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14:paraId="273DABC2" w14:textId="6EC47654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</w:t>
      </w:r>
      <w:r w:rsidR="00CD7871"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5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>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03F2F9B6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B62727E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ACF082B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63791C88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8486F1D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5C5347F3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0E7E52BA" w14:textId="01FC1F61" w:rsidR="006065A3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681E578" w14:textId="77777777" w:rsidR="007C1F48" w:rsidRPr="007E7332" w:rsidRDefault="007C1F48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CE59BB8" w14:textId="77777777" w:rsidR="00FF7A5B" w:rsidRPr="007E7332" w:rsidRDefault="00FF7A5B" w:rsidP="00FF7A5B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7E7332">
        <w:rPr>
          <w:rFonts w:ascii="GHEA Grapalat" w:hAnsi="GHEA Grapalat" w:cs="Sylfae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proofErr w:type="spellStart"/>
      <w:r w:rsidR="003556AF" w:rsidRPr="007E7332"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7C1F48">
        <w:trPr>
          <w:trHeight w:val="408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Վճարման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վճարման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ժամանակացույց</w:t>
            </w:r>
            <w:proofErr w:type="spellEnd"/>
          </w:p>
        </w:tc>
        <w:tc>
          <w:tcPr>
            <w:tcW w:w="9356" w:type="dxa"/>
            <w:vAlign w:val="center"/>
          </w:tcPr>
          <w:p w14:paraId="35CDE806" w14:textId="018A022B" w:rsidR="006065A3" w:rsidRPr="007C1F48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</w:tc>
      </w:tr>
    </w:tbl>
    <w:p w14:paraId="55F528AD" w14:textId="77777777" w:rsidR="00810DDC" w:rsidRPr="007E7332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  <w:bookmarkStart w:id="0" w:name="_GoBack"/>
      <w:bookmarkEnd w:id="0"/>
    </w:p>
    <w:sectPr w:rsidR="00810DDC" w:rsidRPr="007E7332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6F79"/>
    <w:rsid w:val="00022256"/>
    <w:rsid w:val="00045D4D"/>
    <w:rsid w:val="00053311"/>
    <w:rsid w:val="0006160B"/>
    <w:rsid w:val="0007660A"/>
    <w:rsid w:val="00076E61"/>
    <w:rsid w:val="00086DB3"/>
    <w:rsid w:val="0009405E"/>
    <w:rsid w:val="000C1649"/>
    <w:rsid w:val="000E0881"/>
    <w:rsid w:val="0010496D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56C62"/>
    <w:rsid w:val="00282230"/>
    <w:rsid w:val="00287F39"/>
    <w:rsid w:val="002C3AB6"/>
    <w:rsid w:val="002F6987"/>
    <w:rsid w:val="0030443F"/>
    <w:rsid w:val="00305708"/>
    <w:rsid w:val="00321821"/>
    <w:rsid w:val="0034052E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7480"/>
    <w:rsid w:val="00445859"/>
    <w:rsid w:val="004524BF"/>
    <w:rsid w:val="004612D8"/>
    <w:rsid w:val="00480F9D"/>
    <w:rsid w:val="004947D4"/>
    <w:rsid w:val="004E5E76"/>
    <w:rsid w:val="004F086F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0A0F"/>
    <w:rsid w:val="00722B4B"/>
    <w:rsid w:val="00730755"/>
    <w:rsid w:val="00795A0D"/>
    <w:rsid w:val="007C1F48"/>
    <w:rsid w:val="007E1F6F"/>
    <w:rsid w:val="007E653C"/>
    <w:rsid w:val="007E7332"/>
    <w:rsid w:val="007F11CA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92441"/>
    <w:rsid w:val="009B1F4C"/>
    <w:rsid w:val="009B507A"/>
    <w:rsid w:val="009B6AA0"/>
    <w:rsid w:val="009C4CD6"/>
    <w:rsid w:val="009C54ED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2FCF"/>
    <w:rsid w:val="00B71601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7438"/>
    <w:rsid w:val="00CD7871"/>
    <w:rsid w:val="00CE1044"/>
    <w:rsid w:val="00D43CBD"/>
    <w:rsid w:val="00D46AA9"/>
    <w:rsid w:val="00D86134"/>
    <w:rsid w:val="00DB15A3"/>
    <w:rsid w:val="00E02B2F"/>
    <w:rsid w:val="00E05EE5"/>
    <w:rsid w:val="00E23FF7"/>
    <w:rsid w:val="00E24AD3"/>
    <w:rsid w:val="00E255F4"/>
    <w:rsid w:val="00E33EA3"/>
    <w:rsid w:val="00E35933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6916B221-6717-4E7D-8C67-F06FFF09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AABCB-3387-4BCF-BBDA-3A799F0C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144</cp:revision>
  <cp:lastPrinted>2020-08-06T06:58:00Z</cp:lastPrinted>
  <dcterms:created xsi:type="dcterms:W3CDTF">2018-10-01T10:12:00Z</dcterms:created>
  <dcterms:modified xsi:type="dcterms:W3CDTF">2024-11-28T10:21:00Z</dcterms:modified>
</cp:coreProperties>
</file>