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покупки топливо  I четверть  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hovhannisyanliana0103@gmail.com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покупки топливо  I четверть  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покупки топливо  I четверть  25/7</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hovhannisyanliana0103@gmail.com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покупки топливо  I четверть  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регулярного типа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ՄՏԲԿ-ԷԱՃԱՊՁԲ-25/7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ՄՏԲԿ-ԷԱՃԱՊՁԲ-25/7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марта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Нечетное число определяется методом исследования, не менее 91. Не менее 81 автомобиля. Содержание свинца не превышает 5 мг / дм3. Плотность при температуре 15 0 С составляет 720-775 кг / м 3. Содержание серы не более 10 мг / кг. Объемная доля углеводов не более ароматических - 21%, олефинов - 21%, углекислого газа - не более 1%. Массовая доля кислорода - не более 2,7%. Содержание щавелевой кислоты в оксидах - 3%, этаноле - 5%, изопропиловом спирте - 10%, изобутиловом спирте - 10%, триабутиловом спирте - 7%, эфире (C5 и выше) - 15%, других оксидах - , Безопасность, маркировка и упаковка утвержденный Решением N 1592-N от Правительства РА  11 ноября  2004 года. «Технический регламент на топливо для двигателей внутреннего сгорания», Поставка, купон. Купоны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по одресу в течение 3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