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ԱԱԳԼ-ԷԱՃԱՊՁԲ-24/62</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ԱԱԳԼ-ԷԱՃԱՊՁԲ-24/62</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количество высоковольтных каналов: не менее 16, из которых не менее 8 положительных и 8 отрицательных
 Диапазон напряжений: должен включать 0-4 кВ для каждого канала.
Разрешающая способность по напряжению: ≤ 10 мВ
 Точность напряжения: ± 0,02% ± 1 В или лучше
 Максимальный ток: не менее 3 мА
 Разрешающая способность по току: ≤10 на
 Точность тока: ± 0,2% ± 2 МКА или лучше
 С дистанционным управлением по старинке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