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ԱԱԳԼ-ԷԱՃԱՊՁԲ-24/63 ծածկագրով Ավտոմատ սրճեփ մեքենաjի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ԱԱԳԼ-ԷԱՃԱՊՁԲ-24/63 ծածկագրով Ավտոմատ սրճեփ մեքենաjի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ԱԱԳԼ-ԷԱՃԱՊՁԲ-24/63 ծածկագրով Ավտոմատ սրճեփ մեքենաjի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ԱԱԳԼ-ԷԱՃԱՊՁԲ-24/63 ծածկագրով Ավտոմատ սրճեփ մեքենաjի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կամ հաջորդող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և հատիկավոր սուրճի տեսակներով պատրաստելու հնարավորությամբ, սենսորային համակարգով,  առավելագույն ճնշում ոչ պակաս 15 bar։ Հզորությունը առնվազն 1450 (Վտ)։ Օգտագործվող սուրճը հատիկավոր, աղացած։ Կաթի փրփրացման համակարգը ավտոմատ (Կաթի տարրա)։ Սուրճի հատիկների տարրայի ծավալ  առնվազն 250 գ։ Ջրի տարրայի ծավալը առնվազն 1800 մլ։ Իրանի նյութ` պլաստիկ։ Սուրճի պատրաստման տեսակը Espresso, Latte, սև սուրճ, Doppio +, Cappuccino։ Նախնտրելի գույնը սև արծաթագույն։ Երաշխիք ոչ պակաս 36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