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ԱԱԳԼ-ԷԱՃԱՊՁԲ-24/65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ԱԱԳԼ-ԷԱՃԱՊՁԲ-24/65</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ԱԱԳԼ-ԷԱՃԱՊՁԲ-24/65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ԱԱԳԼ-ԷԱՃԱՊՁԲ-24/65</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ԱԱԳԼ-ԷԱՃԱՊՁԲ-24/65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ԱԱԳԼ-ԷԱՃԱՊՁԲ-24/65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ԱԱԳԼ-ԷԱՃԱՊՁԲ-24/65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(однотонный), длина не менее 1550 мм, ширина не менее 770 мм, высота не менее 750 мм, соединительная лента не менее 500 мм, 2 боковые полосы размером не менее 720 мм, с металлическим основанием. Лицевая сторона двухслойный ламинат не менее 36 мм. Края PVC толщиной не менее 2 мм. Ножки металлические: прямоугольные трубы не менее (50×30×2)мм. Порошковая окраска в черный цвет. Толщина передней и боковой панели не менее 18 мм, согласовать цвет с заказчиком..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бумаги, на роликах (тумба) из ламината (толщина ламината. не менее 18 мм), длина не менее 500 мм, ширина не менее 430 мм, высота не менее 650 мм. По крайней мере, с тремя съемными полками, саляски от фирмы blum или аналогичной функцией BLUMOTION WZ. верхняя полка с ключом. ручки металлические, ролики металлические(с резиновым кругом). Минимум 4 катящихся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 ламината (толщина ламината не менее 18 мм), шириной не менее 800 мм , глубиной не менее 400 мм, высотой не менее 2000 мм. Верхняя часть с двумя стеклянными дверями, затемненными, с ручками. петли фирмы blum или аналогичные с функцией CLIP-TOP. верхняя часть в два ряда. нижняя часть в один ряд, не менее двух дверей, ламинированный профиль. ручки металлические, ITALY система. Согласовать цвет ламината с заказчиком,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ламината для всех зон. не менее 18 мм), однотонный, длина 1420 мм, ширина 550 мм, высота 750 мм, соединительная лента не менее 500 мм, 2 боковые полосы не менее 720 мм. Лицевая сторона двухслойный ламинат не менее 36 мм, края PVC толщиной не менее 2 мм. Ножки металлическая труба (50×30×2)мм. порошковая окраска в черный цвет. Согласовать цвет ламината с заказчиком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Эргономичный стул с комбинацией сетки и ткани. подлокотники из металлической порошковой кожи с подкладкой. Подголовник с утолщенной кожаной подкладкой. Общая высота стула в высоком положении 133 см (±2 см). Губка сиденья толщиной не менее 6 см с мягким сетчатым покрытием. Ширина сиденья 48 см (±2 см) глубина сиденья 49 см (±2 см). Высота сиденья в положении над землей 54 см (±2 см). Высота спинки не менее 80 см внутри ,не менее 88 см снаружи. Ширина спинки 42 см(±2 см) вверху, 46 см (±2 см) посередине, 48 см (±2 см) внизу. Расстояние между подлокотниками внутри 50 см (±2 см). Регулировка высоты: с возможностью фиксации в рабочем положении. Крестовина с пластиковыми силиконовыми колесами которые предназначены для паркета и пола с ламинатным покрытием. Гарантия 1 год. Цвет стула черный или серый. Согласовать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Тумба-материал ламинат. Размеры не менее՝
высота: 65 см, ширина: 45 см, глубина: 50 см: Количество выдвижных полок не менее двух, полки одинакового размера. С высококачественными направляющими и ручками. Допустимые стандарты
отклонение 5%. Заранее согласовать выбор цвета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