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ՄՄԱՌՎ-ԷԱՃԱՊՁԲ-2024/44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2024թ-ի կարիքների համար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ՄՄԱՌՎ-ԷԱՃԱՊՁԲ-2024/44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2024թ-ի կարիքների համար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2024թ-ի կարիքների համար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2024թ-ի կարիքների համար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ՄՄԱՌՎ-ԷԱՃԱՊՁԲ-2024/44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ՄՄԱՌՎ-ԷԱՃԱՊՁԲ-2024/44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ՄՄԱՌՎ-ԷԱՃԱՊՁԲ-2024/44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«ՄՄԱՌՎ-ԷԱՃԱՊՁԲ-2024/44»*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ՄՄԱՌՎ-ԷԱՃԱՊՁԲ-2024/44*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- 1510042359830100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«ՄՄԱՌՎ-ԷԱՃԱՊՁԲ-2024/44»*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ՄՄԱՌՎ-ԷԱՃԱՊՁԲ-2024/44*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- 1510042359830100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Վերնամասը - բնական կաշի 1.9-2.1 մմ, օքսֆորդ 900D
Ներքին մասը - 3D ցանց
Արտաքին ներբանները - Ռետինե
Ներբանները - EVA
Միջին ներբանը - կաշի (պադոշ 4մմ)
Քողերը - Կապրոնե
Դիմացից և Ետևից պաշտպանիչ
Օղերը - Մետաղ
Սուպինատորը - Երկաթ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Դիլիջան Պարզ լիճ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