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նյութերի և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նյութերի և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նյութերի և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նյութերի և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կուտակիչ /ֆլեշ/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Պատվիրատուի իրավունքներն ու պարտականություններն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80 թերթ, A5 ֆորմատի: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15գ.: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նիշանի սեղանի (21X15)սմ չափերով,շարժական մեծ էկրան 124-126x27-32 և 20մմ  նիշերով գործողությունների ցուցադրումով վահանակի վրա: Ինքնալիցքավորվող երկու սնուցումով: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0.7մմ ծայրով, կապույտ և 10% ի չափով կարմիր կամ սև, տարբեր տեսակի կառուցվածքով: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8մլ: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Մետաղալար կապեր բլոկներով: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թելակապերով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/ռեգիստրատոր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կազմով,սեղմակով (զսպանակով) 2-3սմ մեջքի բարձրությամբ: Ա4 ֆորմատի թղթերի համար: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մինչև 20 թերթ 10/6 մետաղալարե կապերով ամրացնելու համար,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20-50 թերթ կարելու համար 24/6 կամ 26/6 մետաղալարե կապերով ամրացնելու համար: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75 – 82,5 գ/մ2:
Սպիտակեցված առանց քլորի կիրառման:
Սպիտակության աստիճանը՝ ոչ պակաս 90*%-ից:
Փաթեթավորված 500 թերթ պարունակող տուփերով:Ապրանքի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կուտակիչ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ինտերֆեյսը` USB 2.0։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մեծ  դանակ` թուղթ և ստվարաթուղթ  կտրելու  համար, պլաստմասսե պատյանով, սայրի լայնությունը առնվազն 18 մմ, սայրի երկարությունը՝ առնվազն 9սմ, հաստությունը՝ առնվազն 0,32 մմ: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19 մմ: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25 մմ: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51 մմ: Ապրանքի  մատակարարումը մինչև Պատվիրատուի պահեստային տնտեսություն /Գայի 19/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30սմ երկարության,թափանցիկ,անգույն:Ապրանքի  մատակարարումը մինչև Պատվիրատուի պահեստային տնտեսություն /Գայի 19/ կատարում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ներառյալ-7, 2-րդ եռամսյակի ընթացքում՝ մինչև 30․06․2025թ․՝ 8, 3-րդ եռամսյակի ընթացքում՝ մինչև 30․09․2025թ․՝ 7, 4-րդ եռամսյակի ընթացքում՝ մինչև 30․10․2025թ․՝ 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25, 2-րդ եռամսյակի ընթացքում՝ մինչև 30․06․2025թ․՝ 25, 3-րդ եռամսյակի ընթացքում՝ մինչև 30․09․2025թ․՝ 25, 4-րդ եռամսյակի ընթացքում՝ մինչև 30․10․2025թ․՝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5, 2-րդ եռամսյակի ընթացքում՝ մինչև 30․06․2025թ․՝ 5, 3-րդ եռամսյակի ընթացքում՝ մինչև 30․09․2025թ․՝ 5, 4-րդ եռամսյակի ընթացքում՝ մինչև 30․10․2025թ․՝ 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200, 2-րդ եռամսյակի ընթացքում՝ մինչև 30․06․2025թ․՝ 200, 3-րդ եռամսյակի ընթացքում՝ մինչև 30․09․2025թ․՝ 200, 4-րդ եռամսյակի ընթացքում՝ մինչև 30․10․2025թ․՝ 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37, 2-րդ եռամսյակի ընթացքում՝ մինչև 30․06․2025թ․՝ 38, 3-րդ եռամսյակի ընթացքում՝ մինչև 30․09․2025թ․՝ 37, 4-րդ եռամսյակի ընթացքում՝ մինչև 30․10․2025թ․՝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37, 2-րդ եռամսյակի ընթացքում՝ մինչև 30․06․2025թ․՝ 38, 3-րդ եռամսյակի ընթացքում՝ մինչև 30․09․2025թ․՝ 37, 4-րդ եռամսյակի ընթացքում՝ մինչև 30․10․2025թ․՝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25, 2-րդ եռամսյակի ընթացքում՝ մինչև 30․06․2025թ․՝ 25, 3-րդ եռամսյակի ընթացքում՝ մինչև 30․09․2025թ․՝ 25, 4-րդ եռամսյակի ընթացքում՝ մինչև 30․10․2025թ․՝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12, 2-րդ եռամսյակի ընթացքում՝ մինչև 30․06․2025թ․՝ 13, 3-րդ եռամսյակի ընթացքում՝ մինչև 30․09․2025թ․՝ 12, 4-րդ եռամսյակի ընթացքում՝ մինչև 30․10․2025թ․՝ 13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2000, 2-րդ եռամսյակի ընթացքում՝ մինչև 30․06․2025թ․՝ 2000, 3-րդ եռամսյակի ընթացքում՝ մինչև 30․09․2025թ․՝ 2000, 4-րդ եռամսյակի ընթացքում՝ մինչև 30․10․2025թ․՝ 2000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25, 2-րդ եռամսյակի ընթացքում՝ մինչև 30․06․2025թ․՝ 25, 3-րդ եռամսյակի ընթացքում՝ մինչև 30․09․2025թ․՝ 25, 4-րդ եռամսյակի ընթացքում՝ մինչև 30․10․2025թ․՝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25, 2-րդ եռամսյակի ընթացքում՝ մինչև 30․06․2025թ․՝ 25, 3-րդ եռամսյակի ընթացքում՝ մինչև 30․09․2025թ․՝ 25, 4-րդ եռամսյակի ընթացքում՝ մինչև 30․10․2025թ․՝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25, 2-րդ եռամսյակի ընթացքում՝ մինչև 30․06․2025թ․՝ 25, 3-րդ եռամսյակի ընթացքում՝ մինչև 30․09․2025թ․՝ 25, 4-րդ եռամսյակի ընթացքում՝ մինչև 30․10․2025թ․՝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40, 2-րդ եռամսյակի ընթացքում՝ մինչև 30․06․2025թ․՝ 40, 3-րդ եռամսյակի ընթացքում՝ մինչև 30․09․2025թ․՝ 40, 4-րդ եռամսյակի ընթացքում՝ մինչև 30․10․2025թ․՝ 41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5, 2-րդ եռամսյակի ընթացքում՝ մինչև 30․06․2025թ․՝ 5, 3-րդ եռամսյակի ընթացքում՝ մինչև 30․09․2025թ․՝ 5, 4-րդ եռամսյակի ընթացքում՝ մինչև 30․10․2025թ․՝ 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7, 2-րդ եռամսյակի ընթացքում՝ մինչև 30․06․2025թ․՝ 7, 3-րդ եռամսյակի ընթացքում՝ մինչև 30․09․2025թ․՝ 7, 4-րդ եռամսյակի ընթացքում՝ մինչև 30․10․2025թ․՝ 9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600, 2-րդ եռամսյակի ընթացքում՝ մինչև 30․06․2025թ․՝ 600, 3-րդ եռամսյակի ընթացքում՝ մինչև 30․09․2025թ․՝ 600, 4-րդ եռամսյակի ընթացքում՝ մինչև 30․10․2025թ․՝ 600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76, 2-րդ եռամսյակի ընթացքում՝ մինչև 30․06․2025թ․՝ 76, 3-րդ եռամսյակի ընթացքում՝ մինչև 30․09․2025թ․՝ 76, 4-րդ եռամսյակի ընթացքում՝ մինչև 30․10․2025թ․՝ 77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5, 2-րդ եռամսյակի ընթացքում՝ մինչև 30․06․2025թ․՝ 5, 3-րդ եռամսյակի ընթացքում՝ մինչև 30․09․2025թ․՝ 5, 4-րդ եռամսյակի ընթացքում՝ մինչև 30․10․2025թ․՝ 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7, 2-րդ եռամսյակի ընթացքում՝ մինչև 30․06․2025թ․՝ 7, 3-րդ եռամսյակի ընթացքում՝ մինչև 30․09․2025թ․՝ 7, 4-րդ եռամսյակի ընթացքում՝ մինչև 30․10․2025թ․՝ 9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37, 2-րդ եռամսյակի ընթացքում՝ մինչև 30․06․2025թ․՝ 38, 3-րդ եռամսյակի ընթացքում՝ մինչև 30․09․2025թ․՝ 37, 4-րդ եռամսյակի ընթացքում՝ մինչև 30․10․2025թ․՝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37, 2-րդ եռամսյակի ընթացքում՝ մինչև 30․06․2025թ․՝ 38, 3-րդ եռամսյակի ընթացքում՝ մինչև 30․09․2025թ․՝ 37, 4-րդ եռամսյակի ընթացքում՝ մինչև 30․10․2025թ․՝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37, 2-րդ եռամսյակի ընթացքում՝ մինչև 30․06․2025թ․՝ 38, 3-րդ եռամսյակի ընթացքում՝ մինչև 30․09․2025թ․՝ 37, 4-րդ եռամսյակի ընթացքում՝ մինչև 30․10․2025թ․՝ 38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պողոտա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փուլի համար՝ 2025թ․ ընթացքում, պայմանագիրը (համաձայնագիրը) ուժի մեջ մտնելուց 21-րդ օրացուցային օրը ներառյալ՝ 5, 2-րդ եռամսյակի ընթացքում՝ մինչև 30․06․2025թ․՝ 5, 3-րդ եռամսյակի ընթացքում՝ մինչև 30․09․2025թ․՝ 5, 4-րդ եռամսյակի ընթացքում՝ մինչև 30․10․2025թ․՝ 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