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труда и социальных вопросов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санитарно-гигиенические и чистящие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Лиана Манучарян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liana.manucharyan@mlsa.am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труда и социальных вопросов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ԱՍՀՆ-ՊՈԱԿ-ԷԱՃԱՊՁԲ-25/6-ԵԽ-1-1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санитарно-гигиенические и чистящие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санитарно-гигиенические и чистящие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труда и социальных вопросов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ԱՍՀՆ-ՊՈԱԿ-ԷԱՃԱՊՁԲ-25/6-ԵԽ-1-1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liana.manucharyan@mlsa.am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санитарно-гигиенические и чистящие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2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418.65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ԱՍՀՆ-ՊՈԱԿ-ԷԱՃԱՊՁԲ-25/6-ԵԽ-1-1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ԱՍՀՆ-ՊՈԱԿ-ԷԱՃԱՊՁԲ-25/6-ԵԽ-1-1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ԱՍՀՆ-ՊՈԱԿ-ԷԱՃԱՊՁԲ-25/6-ԵԽ-1-1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ԱՍՀՆ-ՊՈԱԿ-ԷԱՃԱՊՁԲ-25/6-ԵԽ-1-1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труда и социальных вопросов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"ԱՍՀՆ-ՊՈԱԿ-ԷԱՃԱՊՁԲ-25/6-ԵԽ-1-1"*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труда и социальных вопросов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ԱՍՀՆ-ՊՈԱԿ-ԷԱՃԱՊՁԲ-25/6-ԵԽ-1-1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"ԱՍՀՆ-ՊՈԱԿ-ԷԱՃԱՊՁԲ-25/6-ԵԽ-1-1"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ԱՍՀՆ-ՊՈԱԿ-ԷԱՃԱՊՁԲ-25/6-ԵԽ-1-1*.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ԱՍՀՆ-ՊՈԱԿ-ԷԱՃԱՊՁԲ-25/6-ԵԽ-1-1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"ԱՍՀՆ-ՊՈԱԿ-ԷԱՃԱՊՁԲ-25/6-ԵԽ-1-1"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ԱՍՀՆ-ՊՈԱԿ-ԷԱՃԱՊՁԲ-25/6-ԵԽ-1-1*.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ԱՍՀՆ-ՊՈԱԿ-ԷԱՃԱՊՁԲ-25/6-ԵԽ-1-1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ԱՍՀՆ-ՊՈԱԿ-ԷԱՃԱՊՁԲ-25/6-ԵԽ-1-1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водопоглощающая способность 2,4 л, индикатор впитывания, клейкость, безопасность многократного использования, маркировка и упаковка согласно постановлению Правительства РА 2006. «Технический регламент требований к бумаге и изделиям бытового и санитарно-гигиенического назначения», утвержденный решением N 1546 от 19 октября.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ԱՍՀՆ-ՊՈԱԿ-ԷԱՃԱՊՁԲ-25/6-ԵԽ-1-1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и Новый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ԱՍՀՆ-ՊՈԱԿ-ԷԱՃԱՊՁԲ-25/6-ԵԽ-1-1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ԱՍՀՆ-ՊՈԱԿ-ԷԱՃԱՊՁԲ-25/6-ԵԽ-1-1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ԱՍՀՆ-ՊՈԱԿ-ԷԱՃԱՊՁԲ-25/6-ԵԽ-1-1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