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վիշնևսկի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կսարելտո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նիկսար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բրիլիանտ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հավելում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հավելում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կսարելտո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նիկսար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բրիլիանտ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հավելում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հավելում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կսարելտո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նիկսար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բրիլիանտ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հավելում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հավելում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