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2024.12.03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ՀԲԿ-ԷԱԱՇՁԲ-25/0001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ՀՐԱԶԴԱՆԻ ԲԺՇԿԱԿԱՆ ԿԵՆՏՐՈՆ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Կոտայքի մարզ, ք.Հրազդան, Մ.Բաղրամյան թաղ., Պուրակային 32</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 Ր Ա Վ Ե Ր   «ՀՐԱԶԴԱՆԻ ԲԺՇԿԱԿԱՆ ԿԵՆՏՐՈՆ ՓԲԸ »-Ի ԿԱՐԻՔՆԵՐԻ ՀԱՄԱՐ` « ԲԺՇԿԱԿԱՆ ՄԱՏՅԱՆՆԵՐԻ ՏՊԱԳՐՈՒԹՅԱՆ ԱՇԽԱՏԱՆՔՆԵՐԻ » ՁԵՌՔԲԵՐՄԱՆ ՆՊԱՏԱԿՈՎ  ՀԱՅՏԱՐԱՐՎԱԾ ԷԼԵԿՏՐՈՆԱՅԻՆ ԱՃՈՒՐԴԻ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12:00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Լարիսա Նավասարդյան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077-448141</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larisanavasardyan5@gmail.com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ՀՐԱԶԴԱՆԻ ԲԺՇԿԱԿԱՆ ԿԵՆՏՐՈՆ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ՀԲԿ-ԷԱԱՇՁԲ-25/0001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2024.12.03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ՀՐԱԶԴԱՆԻ ԲԺՇԿԱԿԱՆ ԿԵՆՏՐՈՆ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ՀՐԱԶԴԱՆԻ ԲԺՇԿԱԿԱՆ ԿԵՆՏՐՈՆ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 Ր Ա Վ Ե Ր   «ՀՐԱԶԴԱՆԻ ԲԺՇԿԱԿԱՆ ԿԵՆՏՐՈՆ ՓԲԸ »-Ի ԿԱՐԻՔՆԵՐԻ ՀԱՄԱՐ` « ԲԺՇԿԱԿԱՆ ՄԱՏՅԱՆՆԵՐԻ ՏՊԱԳՐՈՒԹՅԱՆ ԱՇԽԱՏԱՆՔՆԵՐԻ » ՁԵՌՔԲԵՐՄԱՆ ՆՊԱՏԱԿՈՎ  ՀԱՅՏԱՐԱՐՎԱԾ ԷԼԵԿՏՐՈՆԱՅԻՆ ԱՃՈՒՐԴԻ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ՀՐԱԶԴԱՆԻ ԲԺՇԿԱԿԱՆ ԿԵՆՏՐՈՆ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 Ր Ա Վ Ե Ր   «ՀՐԱԶԴԱՆԻ ԲԺՇԿԱԿԱՆ ԿԵՆՏՐՈՆ ՓԲԸ »-Ի ԿԱՐԻՔՆԵՐԻ ՀԱՄԱՐ` « ԲԺՇԿԱԿԱՆ ՄԱՏՅԱՆՆԵՐԻ ՏՊԱԳՐՈՒԹՅԱՆ ԱՇԽԱՏԱՆՔՆԵՐԻ » ՁԵՌՔԲԵՐՄԱՆ ՆՊԱՏԱԿՈՎ  ՀԱՅՏԱՐԱՐՎԱԾ ԷԼԵԿՏՐՈՆԱՅԻՆ ԱՃՈՒՐԴԻ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ՀԲԿ-ԷԱԱՇՁԲ-25/0001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larisanavasardyan5@gmail.com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 Ր Ա Վ Ե Ր   «ՀՐԱԶԴԱՆԻ ԲԺՇԿԱԿԱՆ ԿԵՆՏՐՈՆ ՓԲԸ »-Ի ԿԱՐԻՔՆԵՐԻ ՀԱՄԱՐ` « ԲԺՇԿԱԿԱՆ ՄԱՏՅԱՆՆԵՐԻ ՏՊԱԳՐՈՒԹՅԱՆ ԱՇԽԱՏԱՆՔՆԵՐԻ » ՁԵՌՔԲԵՐՄԱՆ ՆՊԱՏԱԿՈՎ  ՀԱՅՏԱՐԱՐՎԱԾ ԷԼԵԿՏՐՈՆԱՅԻՆ ԱՃՈՒՐԴԻ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15</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399.59</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3.75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420.17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2024.12.17. 12:00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ՀԲԿ-ԷԱԱՇՁԲ-25/0001</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ՀՐԱԶԴԱՆԻ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ՀԲԿ-ԷԱԱՇՁԲ-25/0001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ՀԲԿ-ԷԱԱՇՁԲ-25/0001</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«ՀԲԿ-ԷԱԱՇՁԲ-25/0001»*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ՀԲԿ-ԷԱԱՇՁԲ-25/0001*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«ՀԲԿ-ԷԱԱՇՁԲ-25/0001»*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ՀԲԿ-ԷԱԱՇՁԲ-25/0001*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Աշխատանքների մատակարարումը ֆինանսական միջոցներ նախատեսվելու դեպքում պայմանագրին կից համաձայնագրի կնքումից մինչև 25.12.2025թ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