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«ГАРНИ-ЛЕР» НПЕ</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Фучика 29/7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Ашот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ashot.ghazaryan57@mail.ru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093 56 60 66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«ГАРНИ-ЛЕР» НПЕ</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ԳԼ-ԷԱՃԱՊՁԲ-32/24</w:t>
      </w:r>
      <w:r>
        <w:rPr>
          <w:rFonts w:ascii="Calibri" w:hAnsi="Calibri" w:cstheme="minorHAnsi"/>
          <w:i/>
        </w:rPr>
        <w:br/>
      </w:r>
      <w:r>
        <w:rPr>
          <w:rFonts w:ascii="Calibri" w:hAnsi="Calibri" w:cstheme="minorHAnsi"/>
          <w:szCs w:val="20"/>
          <w:lang w:val="af-ZA"/>
        </w:rPr>
        <w:t>2024.12.05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«ГАРНИ-ЛЕР» НПЕ</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«ГАРНИ-ЛЕР» НПЕ</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газ</w:t>
      </w:r>
      <w:r>
        <w:rPr>
          <w:rFonts w:ascii="Calibri" w:hAnsi="Calibri" w:cstheme="minorHAnsi"/>
          <w:b/>
          <w:lang w:val="ru-RU"/>
        </w:rPr>
        <w:t xml:space="preserve">ДЛЯ НУЖД  </w:t>
      </w:r>
      <w:r>
        <w:rPr>
          <w:rFonts w:ascii="Calibri" w:hAnsi="Calibri" w:cstheme="minorHAnsi"/>
          <w:b/>
          <w:sz w:val="24"/>
          <w:szCs w:val="24"/>
          <w:lang w:val="af-ZA"/>
        </w:rPr>
        <w:t>ОАО «ГАРНИ-ЛЕР» НПЕ</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ԳԼ-ԷԱՃԱՊՁԲ-32/24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ashot.ghazaryan57@mail.ru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ԳԼ-ԷԱՃԱՊՁԲ-32/24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«ГАРНИ-ЛЕР» НПЕ</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"ԳԼ-ԷԱՃԱՊՁԲ-32/24"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«ГАРНИ-ЛЕР» НПЕ*(далее — Заказчик) процедуре закупок под кодом ԳԼ-ԷԱՃԱՊՁԲ-32/24*.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"ԳԼ-ԷԱՃԱՊՁԲ-32/24"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«ГАРНИ-ЛЕР» НПЕ*(далее — Заказчик) процедуре закупок под кодом ԳԼ-ԷԱՃԱՊՁԲ-32/24*.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«ГАРНИ-ЛЕР» НПЕ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ԳԼ-ԷԱՃԱՊՁԲ-32/24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ГОСТ 20448-90, или аналог, доставка по чекам. Заправка в городе Ереване или ближающих областях.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ОАО НПО «Гарни-Лер», г. Егвард, шоссе Ереванская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 сжиженный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