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 ՄԱՆՐԷԱԲԱՆԱԿԱՆ ԱՆԱԼԻԶԻ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 ՄԱՆՐԷԱԲԱՆԱԿԱՆ ԱՆԱԼԻԶԻ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 ՄԱՆՐԷԱԲԱՆԱԿԱՆ ԱՆԱԼԻԶԻ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 ՄԱՆՐԷԱԲԱՆԱԿԱՆ ԱՆԱԼԻԶԻ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անալիզի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2024.12.19. 14:15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ԱՄԱԿ-ԷԱՃԾՁԲ-25/10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անալիզի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հավելված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Դավիթաշեն Փ/ա 25 և Ֆուչիկի 32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