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ՊԵԿ-ԷԱՃԾՁԲ-24/7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Լարային հեռահաղորդակցական ցանցով տվյալների փոխանցման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gurgen_ghazaryan@taxservice.am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ՊԵԿ-ԷԱՃԾՁԲ-24/7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Լարային հեռահաղորդակցական ցանցով տվյալների փոխանցման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Լարային հեռահաղորդակցական ցանցով տվյալների փոխանցման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ՊԵԿ-ԷԱՃԾՁԲ-24/7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Լարային հեռահաղորդակցական ցանցով տվյալների փոխանցման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85784484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ընդհանուր գումարի մինչև 10%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դեկտեմբեր ամսվա համար կանխավճարի հատկացում՝ պայմանագրի ընդհանուր գումարի մինչև 10% չափով՝ պայմանով, որ կատարողը 2025 թվականի 4-րդ եռամսյակում կներկայացնի կանխավճարի ապահովում։ 
                    </w:t>
              </w:r>
            </w:p>
          </w:tc>
        </w:tr>
      </w:tbl>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403.03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3.92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424.19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ՊԵԿ-ԷԱՃԾՁԲ-24/7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ՊԵԿ-ԷԱՃԾՁԲ-24/7</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«ՊԵԿ-ԷԱՃԾՁԲ-24/7»*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ՊԵԿ-ԷԱՃԾՁԲ-24/7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«ՊԵԿ-ԷԱՃԾՁԲ-24/7»*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«ՊԵԿ-ԷԱՃԾՁԲ-24/7»*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ՊԵԿ-ԷԱՃԾՁԲ-24/7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«ՊԵԿ-ԷԱՃԾՁԲ-24/7»*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«ՊԵԿ-ԷԱՃԾՁԲ-24/7»*  ծածկագրով</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պետական եկամուտների կոմիտե»</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4.1.1 Պայմանագրի գնից` մինչև ----------- (--------------------------) ՀՀ դրամը, Պատվիրատուն փոխանցում է Կատարողի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Լարային հեռահաղորդակցական ցանցով տվյալների փոխանցման ծառայություններ
(ՀՀ ՊԵԿ տվյալների փոխանցման տեղեկատական ցանցի սպասարկման ծառայություններ)
CPV - 72411100/503
ՀՀ ՊԵԿ տվյալների փոխանցման տեղեկատվական ցանցը (այսուհետ` ցանց) ապահովում է էլեկտրոնային կապը վերադաս մարմնի և իր ստորաբաժանումների  միջև։ 
Ցանցը պետք է ապահովի տեղեկատվության փոխանակման շուրջօրյա հնարավորություն, ներառյալ ոչ աշխատանքային օրերը և ժամերը։ Ցանցը պետք է լինի պաշտպանված, փակ ցանց և չպետք է լինի կապված ոչ մի այլ համակարգչային ցանցերի հետ։
Կատարողը պետք է ապահովի ցանցում տվյալների փոխանցման արագությունը, անվտանգությունը և գաղտնիությունը։ 
Կատարողը պետք է ապահովի նաև ցանցի շուրջօրյա սպասարկումը և տեխնիկական աջակցումը։
Կատարողը պետք է իրականացնի ցանցի նախագծման, կառուցման և հետագա սպասարկման ծառայությունները։ Կատարողը ցանցը նախագծելիս պետք է կիրառի  արագագործ, ապահով և ժամանակակից տեխնոլոգիաներ։ 
Ցանցի նախագծման ժամանակ կատարողը պետք է ՀՀ ՊԵԿ տեղեկատվական տեխնոլոգիաների վարչության պետի հետ համաձայնեցնի կիրառվելիք տեխնոլոգիաները։ 
Կատարողը պետք է որոշի, թե ինչպիսի արտաքին սարքավորումներ և ծրագրեր են անհրաժեշտ ցանցը միացնելու կամ վերակառուցելու համար, ինչպես նաև ՀՀ ՊԵԿ տեղեկատվական տեխնոլոգիաների վարչության պետի հետ համաձայնեցնի նախագծի նկարագրությունը, անհրաժեշտության դեպքում ներկայացնի հիմնավորումները և ապահովի նախագծի ներդրման ընթացքը։ 
Կատարողը պարտավորվում է չբացահայտել ծառայությունների մատուցման ժամանակ նրան հասանելի դարձած տեղեկատվությունը։ Կատարողը պարտավոր է ստորագրել տեղեկատվության չբացահայտման համաձայնագիր (NDA: Non-disclosure agreement - կցվում է):
Լարային հեռահաղորդակցական ցանցով տվյալների փոխանցման ծառայություններ
 (Օպտիկամանրաթելային կապի միջոցներով տվյալների փոխանցման տեղեկատվական ցանցի սպասարկման ծառայություններ)
Ծառայությունը պետք է տրամադրվի «OSI Layer 2» (տվյալների փոխանակման) մակարդակում, ինչը հնարավորություն կընձեռի ՀՀ ՊԵԿ-ին ստեղծել ժամանակակից էլեկտրոնային կառավարման վիրտուալ մասնավոր ցանց, որն ամբողջովին առանձնացված կլինի արտաքին աշխարհից և պաշտպանված  կլինի արտաքին մուտքերից կամ ներխուժումներից` լինելով ներփակված զուտ ՀՀ ՊԵԿ ներքին ցանցային ենթակառուցվածքում:
Տվյալների փոխանցման տեղեկատվական ցանցի տեխնիկական բնութագիր
Անվանումը	Նկարագրությունը
Առանձնացված կապուղի
	2 առանձնացված օպտիկամանրաթելային կապուղու ապահվում և ցանցային ուղղորդում 2 իրարից անկախ կապի ծառայությունների մատակարար ընկերություններից (այսուհետ՝ ԿԾՄ) ք. Երևան Ահարոնյան 12/3 հասցեից (հիմնական հանգույց) դեպի ք. Դիլիջան պարզ լիճ 5 (պահուստային հանգույց) - առնվազն Հավելված 1-ում նշված արագությամբ: *
	2 առանձնացված օպտիկամանրաթելային կապուղու ապահվում և ցանցային ուղղորդում 2 իրարից անկախ ԿԾՄ-ի կողմից հիմնական, պահուստային հանգույցների և հավելված 2,3,4 կետերի միջև: *
	Օպտիկամանրաթելային կապուղու ապահովում և  ցանցային ուղղորդում Հավելված 3-ի, 4-ի կետերի և հիմնական հանգույցի միջև:
Պայմաններ	“Routing with multiple redundancy paths and resiliency” հիմնական, պահուստային հանգույցների և Հավելված 2,3,4-ի կետերի միջև:
	ԿԾՄ-ն պետք է ապահովի առնվազն Հավելված 2,3,4-ում նշված համապատասխան արագություններով երաշխավորված, երկկողմանի (սիմետրիկ) տվյալների փոխանցման հնարավորություն ցանկացած կետում:
Հավելված 1,2,3,4-ում նշված հասցեներում տրամադրել առանձնացված VLAN-ներ հեռախոսակապի և տեսահսկման համակարգի համար։
	•	Անհրաժեշտ սարքավորումների տրամադրում, տեղադրում, կարգաբերում և սպասարկում
•	Ապահովել ցանկացած կետում ցանկացած VLAN Id օգտագործման հնարավորությունը
•	Տարբեր կետերի խմբավորումը ըստ ծառայությունների «Leyer2» ենթացանցերի
•	Ապահովել համակցում  վերոնշյալ «Leyer2» խմբերի միջև
•	Ապահովել ցանկացած «Leyer2» պրոտոկոլների թափանցելիություն ցանկացած կետում
Լայնաշերտ ինտերնետ հասանելիության ծառայություն	Ինտերնետ կապի տրամադրում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Պահուստային ԿՄԾ-ն պետք է տրամադրի առնվազն 300mb/s արագությամբ, ինչպես նաև առնվազն 500 mb/s արագությամբ ՀՀ տարածքում գործող .am տիրույթներում, ՀՀ ՊԵԿ–ի երկու ՏՄԿ-ներում (Տվյալների մշակման կենտրոններ) – ք.Երևան, Ահարոնյան 12/3 և ք.Դիլիջան, Պարզ լիճ 5։
ԿԾՄ-ն պետք է տրամադրի 2-ական x.x.x.x/26 և 2-ական x.x.x.x/28 (real ip) հասցեների տիրույթ:
ԿԾՄ-ն պետք է հոգա ՀՀ ՊԵԿ–ին պատկանող 185․44․228․0/24 և 185․44․229․0/24 (real ip) հասցեների տիրույթին և 56974 ASN–ին վերաբերող սպասարկման ծախսերը RIPE–ում, ինչպես նաև RIPE–ին անդամակցության տարեկան ծախսը։
ԿԾՄ-ն և պահուստային ԿԾՄ-ն պետք է տրամադրեն BGP ծառայության հնարավորություն և հասանելիություն ՀՀ ՊԵԿ–ի երկու ՏՄԿ-ներում (Տվյալների մշակման կենտրոններ) – ք.Երևան, Ահարոնյան 12/3 և ք.Դիլիջան, Պարզ լիճ 5։
Որակի պահանջներ	•	Մեկ տարվա ընթացքում hավելված 1,2,3 -ի որևէ կետում կապի խափանումների (բացակայությունների) քանակը չպետք է  գերազանցի 4-ը: Սույն դրույթի իմաստով խափանում է համարվում կապի բացակայությունը՝ յուրաքանչյուր խափանման դեպքում 60 րոպեից ավելի ժամանակով,
•	Մեկ տարվա ընթացքում hավելված 4-ի որևէ կետում կապի խափանումների (բացակայությունների) քանակը չպետք է  գերազանցի 6-ը: Սույն դրույթի իմաստով խափանում է համարվում կապի բացակայությունը՝ յուրաքանչյուր խափանման դեպքում 120 րոպեից ավելի ժամանակով:
	•	Մեկ ամսվա ընթացքում հավելված 1,2,3 -ի որևէ կետում  կապի խափանումների(բացակայությունների) ժամանակահատվածը չպետք է  գերազանցի  120 րոպեն, իսկ  հավելված 4-ի որևէ կետում՝ 240 րոպեն: Սույն դրույթի իմաստով կապի խափանման (բացակայության) ժամանակը հաշվարկվում է որպես մեկ ամսվա ընթացքում տվյալ կետում կապի բոլոր խափանումների (բացակայությունների) ժամանակահատվածների հանրագումար:
* Նշված հանգույցների միջև յուրաքանչյուր ԿԾՄ պետք է տրամադրի տեղեկատվական ցանց՝ չօգտագործելով մյուս ԿԾՄ-ի տեղեկատվականցանցը (կապուղի, հանգույց և այլն):
Հավելված 1
Հ/Հ	Վարչական շենք / բաժին	Հասցե	Արագություն
1.	՛՛ՋԻ ՍՈԼՅՈՒՇՆՍ՛՛ ՊՈԱԿ,
«Ուսումնական կենտրոն» ՊՈԱԿ	ք.Երևան, Ահարոնյան 12/3	5Gb/s
2.	ՀՀ ՊԵԿ պահուստային հանգույց	ՀՀ Տավուշի մարզ, ք.Դիլիջան, Պարզ լիճ 5	5Gb/s
Հավելված 2
Հ/Հ	Վարչական շենք / բաժին	Հասցե	Արագություն
1.		ՊՍՑԱԿՄՍՀ վարչության Մաքսային սպասարկման և հսկողության թիվ 9, 10, 11, 12 բաժիններ	ՀՀ Շիրակի մարզ, գյուղ Բավրա, Գյումրի-Նինոծմինդա մայրուղի 63/4	300Mb/s
2.		ՊՍՑԱԿՄՍՀ վարչության Մաքսային սպասարկման և հսկողության թիվ 1, 2, 3, 4 բաժիններ	ՀՀ Տավուշի մարզ, գ. Բագրատաշեն 19 փ. թիվ 69	300Mb/s
3.		ՊՍՑԱԿՄՍՀ վարչության Մաքսային սպասարկման և հսկողության թիվ 5 6, 7, 8 բաժիններ	ՀՀ Լոռու մարզ, Սարչապետ համայնք, գ. Գոգավան, փող․ 1, թիվ 25 	300Mb/s
4.		ՊՍՑԱԿՄՍՀ վարչության Մաքսային սպասարկման և հսկողության թիվ 14 բաժին	ՀՀ Սյունիքի մարզ, Մեղրի համայնք, գ.Կարճևան, Մայրուղի-4	300Mb/s
5.		ՊՍՑԱԿՄՍՀ վարչության Մաքսային սպասարկման և հսկողության թիվ 13 բաժին	ՀՀ Տավուշի մարզ, գ.Այրում, Երկաթուղային 20	100Mb/s
6.		Կենտրոնական ապարատ	ք.Երևան, Մ.Խորենացու-3, 7 և 7ա	2Gb/s
7.		ԱՏԳՄՍՀ վարչություն, Մաքսանենգության դեմ պայքարի վարչություն, Հետբացթողումային հսկողության վարչություն, ՛՛ՋԻ ՍՈԼՅՈՒՇՆՍ՛՛ ՊՈԱԿ,
 «Ուսումնական կենտրոն» ՊՈԱԿ, ԱՏԳՄՍՀ վարչություն, ՀՕՀՎ 12-րդ և 14-րդ բաժիններ	ք.Երևան, Ծովակալ Իսակովի 10  և  10/16  	1Gb/s
8.		Էլեկտրոնային առևտրի և օդային տրանսպորտով իրականացվող փոխադրումների /ԷԱՕՏԻՓ/ վարչության	Երևան – 42, «Զվարթնոց» օդանավակայան	300Mb/s
9.		ԱՏԳՄՍՀ վարչության Մաքսային գործառնությունների սպասարկման թիվ 8 բաժին	Շիրակի մարզ Գյումրի համայնքի Թբիլիսյան խճուղի 2/14	300Mb/s
Հավելված 3
Հ/Հ	Վարչական շենք / բաժին	Հասցե	Արագություն
1.		Հարկ վճարողների ընթացիկ հսկողության հարկային տեսչություն-վարչություն (ՀՎԸՀՀՏՎ), Հարկային վարչարարության կազմակերպման, դիտարկման և հսկողության վարչություն, Հարկային տեղեկատվության և ռիսկերի վերլուծության վարչություն, Հարկ վճարողների սպասարկման վարչություն (ՀՎՍՎ), ՀՎՍՎ թիվ 20 բաժին, ՀՎՍՎ թիվ 1 բաժին, ՛՛ՋԻ ՍՈԼՅՈՒՇՆՍ՛՛ ՊՈԱԿ, «Ուսումնական կենտրոն» ՊՈԱԿ	ք.Երևան, Կոմիտաս 35 	300Mb/s
2.		ՀՕՀՎ տարածքային թիվ 11-րդ, 13-րդ և 15 (վերլուծությունների) բաժիններ, ՀՎՍՎ թիվ 3 բաժին, Ոչ առևտրային կազմակերպությունների հսկողության բաժին	ք.Երևան,Դեղատան 3 	200Mb/s
3.		Ներքին անվտանգության վարչություն	ք.Երևան, Անդրանիկի փող. 37/1 	300Mb/s
4.		Մաքսանենգության դեմ պայքարի վարչություն /շնագիտական կենտրոն/	ք.Երևան, Հյուսիսային փող. 6  	60Mb/s
5.		Էլեկտրոնային առևտրի և օդային տրանսպորտով իրականացվող փոխադրումների /ԷԱՕՏԻՓ/ վարչության	ք.Երևան, Տիգրան Մեծ 1-ին նրբ.	60Mb/s
6.		Իրավաբանական վարչություն, ՀՎՍՎ թիվ 2 բաժին	ք.Երևան, Ս. Դավիթ 87 և 87ա	100Mb/s
7.		Ներքին աուդիտի վարչություն, ՀՎԸՀՀՏՎ թիվ 1-ին, 3-րդ և 4-րդ բաժիններ, ՀՎՍՎ թիվ 4 բաժին	ք.Երևան, Շինարարների փ. 3/1	100Mb/s
8.		ՀՎԸՀՀՏՎ միջին հարկ վճարողների ընթացիկ հսկողության թիվ 2-րդ և 3-րդ բաժիններ, ՀՎՍՎ թիվ 5 բաժին, ՀՕՀՎ ոլորտային թիվ 3 բաժին	ք.Երևան, Մոլդովական 41/3	100Mb/s
9.		ՀՎԸՀՀՏՎ թիվ 2-րդ, 5-րդ և 6 բաժիններ, ՀՎՍՎ թիվ 6 բաժին, ՀՕՀՎ ոլորտային թիվ 4 բաժին	ք.Երևան, Մանթաշյան փ. 55	100Mb/s
10.		ՀՎՍՎ թիվ 11 բաժին	ՀՀ Շիրակի մարզ, ք.Գյումրի, Հովսեփյան 1	100Mb/s
Հավելված 4
Հ/Հ	Վարչական շենք / բաժին	Հասցե	Արագություն
1.		Էլեկտրոնային առևտրի և օդային տրանսպորտով իրականացվող փոխադրումների /ԷԱՕՏԻՓ/ վարչության	ՀՀ Շիրակի մարզ,  «Շիրակ» օդանավակայան	60Mb/s
2.		ԱՏԳՄՍՀ վարչության Մաքսային գործառնությունների սպասարկման թիվ 9 բաժին	ՀՀ Լոռու մարզ, ք.Վանաձոր, Մոսկովյան 44	60Mb/s
3.		ԱՏԳՄՍՀ վարչության Մաքսային գործառնությունների սպասարկման թիվ 10 բաժին	ՀՀ Սյունիքի մարզ, Սիսիան-Երևան մայրուղու 7-րդ կմ, Շաքե համայնք	60Mb/s
4.		ՀՎՍՎ թիվ 7 բաժին	ՀՀ Արագածոտնի մարզ, ք.Աշտարակ, Պռոշյան 29	60Mb/s
5.		ՀՎՍՎ թիվ 9 բաժին	ՀՀ Արարատի մարզ, ք.Արտաշատ, Օգոստոսի 23, թիվ 83	60Mb/s
6.		ՀՎՍՎ թիվ 10 բաժին	ՀՀ Գեղարքունիքի մարզ, ք.Գավառ, Հերոս քազաք Նովորոսիյսկի 4	60Mb/s
7.		ՀՎՍՎ թիվ 18 բաժին	ՀՀ Սյունիքի մարզ, ք.Գորիս, Տաթևանցու 9	60Mb/s
8.		ՀՎՍՎ թիվ 12 բաժին	ՀՀ Վայոց Ձորի մարզ, ք.Եղեգնաձոր, Նարեկացի 8/3	60Mb/s
9.		ՀՎՍՎ թիվ 8 բաժին	ՀՀ Արմավիրի մարզ, ք.Էջմիածին, Նար-Դոսի 11	60Mb/s
10.		ՀՎՍՎ թիվ 13 բաժին	ՀՀ Տավուշի մարզ, ք.Իջևան, Անկախության 12	60Mb/s
11.		ՀՎՍՎ թիվ 14 բաժին	ՀՀ Սյունիքի մարզ, ք.Կապան, Մինասյան փողոց 20ա	60Mb/s
12.		ՀՎՍՎ թիվ 15 բաժին	ՀՀ Կոտայքի մարզ, ք.Աբովյան, Բարեկամության հրապարակ-1	60Mb/s
13.		ՀՎՍՎ թիվ 19 բաժին	ՀՀ Կոտայքի մարզ, ք.Հրազդան, Սպանդարյան փ 24/1-24/2	60Mb/s
14.		ՀՎՍՎ թիվ 17 բաժին	ք.Սևան, Սայաթ-Նովա 1/1	60Mb/s
15.		ՀՎՍՎ թիվ 16 բաժին	ՀՀ Լոռու մարզ, ք.Վանաձոր, Վարդանանց 11	60Mb/s
16.		Գործերի կառավարման վարչություն /ավտոտնտեսություն/	ք. Երևան, Սևանի 104/2	20Mb/s
17.		ՀՎՍՎ թիվ 21 բաժին, Գործերի կառավարման վարչություն /պահեստային տարածք/	ք.Երևան, Արարատյան 90	60Mb/s
18.		Կենտրոնական ապարատ	ՀՀ Արմավիրի մարզ, Մեծամոր համայնք, գ․ Մարգարա, Արմավիր-Մարգարա մայրուղի 12	100Mb/s
Ծառայության մատուցման ժամկետը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Հրավերով նախատեսել դեկտեմբեր ամսվա համար կանխավճարի հատկացում՝ պայմանագրի ընդհանուր գումարի մինչև 10% չափով։
•	Հրավերով մասնակիցը պետք է ներկայացնի գնացուցակ ամսական կտրվածքով՝ հավելված 1, 2, 3 և 4-ում նշված հասցեների համար: 
•	Գնման գործընթացը կազմակերպվում է «Գնումների մասին» ՀՀ օրենքի 15-րդ հոդվածի 6-րդ կետի համաձայն: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բնութագրում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մատուցումն իրականացվում է այդ նպատակով համապատասխան ֆինանսական միջոցների  առկայության դեպքում և կողմերի միջև համապատասխան համաձայնագրի կնքման հիման վրա, համաձայնագիրն  ուժի մեջ մտնելու օրվան հաջորդող օրվանից հաշված առավելագույնը 365 օրացուցային օրվա ընթացում: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