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ԷԱՃԱՊՁԲ-2025/Ա-19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շինարարական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010596632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ԷԱՃԱՊՁԲ-2025/Ա-19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շինարարական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շինարարական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ԷԱՃԱՊՁԲ-2025/Ա-19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շինարարական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հատակի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 գիպսային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415.64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2024.12.24.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ՆԳՆ ԷԱՃԱՊՁԲ-2025/Ա-19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ԷԱՃԱՊՁԲ-2025/Ա-19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ՆԳՆ ԷԱՃԱՊՁԲ-2025/Ա-19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ՆԳՆ ԷԱՃԱՊՁԲ-2025/Ա-19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ՆԳՆ ԷԱՃԱՊՁԲ-2025/Ա-19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ԷԱՃԱՊՁԲ-2025/Ա-19»*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ԷԱՃԱՊՁԲ-2025/Ա-19»*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ՆԵՐՔԻՆ ԳՈՐԾԵՐԻ ՆԱԽԱՐԱՐՈՒԹՅԱՆ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Սալիկի սոսինձ՝ 25կգ-ոց պարկերով: Սալիկի սոսինձի պիտանելիության ժամկետը մատակարարման պահին 60%-ից ոչ պակաս: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Ծեփանյութեր: Ծեփամածիկ մելային բաղադրությունը՝ կալցիումի կարբոնատ, կավիճ, լցանյութեր, մոդիֆիկացնող հավելանյութեր, ռեդիսպերսիոն փոշի։ Ծեփամածիկը նախատեսված  է ներքին հարդարնան աշխատանքներն ավարտին հասցնելու, ներկելուց առաջ չդերֆորմացվող գրպսային, բետոնային, կրային, ցեմենտակրային, ցեմենտաավազային մակերեսները հարթեցնելու համար։Թղթե կամ պոլիպրոպիլենային պարկերով,
համապատասխանաբար 10կգ զտաքաշով։ Պահպանման ժամկետը ոչ պակաս 80%  մատակարարման օրվանից։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Կապույտ։   Նախատեսված են շենքերի արտաքին և ներքին հարդարման աշխատանքների համար (բացառությամբ հատակի ներկման), ինչպես նաև մետաղյա և փայտյա իրերի ներկման համար։ Յուղաներկերում թաղանթագոյացնող նյութի զանգվածային մասը պետք է լինի 20%-ից մինչև 34%, պայմանական մածուցիկությունը` ըստ B 3-4 մածուցիկաչափի (20±0,5) 0 C, 65-160վ, կապույտ, ԳՕՍՏ 30884․2003։
 Պահպանման մնացորդային ժամկետը մատակարարման պահին 80%-ից ոչ պակաս: Պատասխանատուի   պահանջով մատակարար կազմակերպությունը պատասխանատու ստորաբաժանմանը պետք է ներկայացնի ապրանքի լաբորատոր հետազոտության արդյունքներ: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կանաչ։ Նախատեսված են շենքերի արտաքին և ներքին հարդարման աշխատանքների համար (բացառությամբ հատակի ներկման), ինչպես նաև մետաղյա և փայտյա իրերի ներկման համար։ Յուղաներկերում թաղանթագոյացնող նյութի զանգվածային մասը պետք է լինի 20%-ից մինչև 34%, պայմանական մածուցիկությունը` ըստ B 3-4 մածուցիկաչափի (20±0,5) 0 C, 65-160 վ, կանաչ, ԳՕՍՏ 30884-2003։ Պահպանման մնացորդային ժամկետը մատակարարման պահին 80%-ից ոչ պակաս: Պատասխանատուի   պահանջով մատակարար կազմակերպությունը պատասխանատու ստորաբաժանմանը պետք է ներկայացնի ապրանքի լաբորատոր հետազոտության արդյունքներ: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շագանակագույն։
Նախատեսված են շենքերի արտաքին և ներքին հարդարման աշխատանքների համար (բացառությամբ հատակի ներկման), ինչպես նաև մետաղյա և փայտյա իրերի ներկման համար։ Յուղաներկերում թաղանթագոյացնող նյութի զանգվածային մասը պետք է լինի 20%-ից մինչև 34%, պայմանական մածուցիկությունը` ըստ B 3-4 մածուցիկաչափի (20±0,5) 0 C, 65-160 վ, շագանակագույն, ԳՕՍՏ 30884․2003։ Պահպանման մնացորդային ժամկետը մատակարարման պահին 80%-ից ոչ պակաս: Պատասխանատուի   պահանջով մատակարար կազմակերպությունը պատասխանատու ստորաբաժանմանը պետք է ներկայացնի ապրանքի լաբորատոր հետազոտության արդյունքներ: Մինչև մատակարարումը նմուշը համաձայնեցնել պատվիրատուի հետ: Նախատեսված են շենքերի արտաքին և ներքին հարդարման աշխատանքների համար (բացառությամբ հատակի ներկման), ինչպես նաև մետաղյա և փայտյա իրերի ներկման համար։ Յուղաներկերում թաղանթագոյացնող նյութի զանգվածային մասը պետք է լինի 20%-ից մինչև 34%, պայմանական մածուցիկությունը` ըստ B 3-4 մածուցիկաչափի (20±0,5) 0 C, 65-160 վ, շագանակագույն, ԳՕՍՏ 30884-2003։ Պահպանման մնացորդային ժամկետը մատակարարման պահին 80%-ից ոչ պակաս: Պատասխանատուի   պահանջով մատակարար կազմակերպությունը պատասխանատու ստորաբաժանմանը պետք է ներկայացնի ապրանքի լաբորատոր հետազոտության արդյունքներ: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սպիտակ։ Նախատեսված են շենքերի արտաքին և ներքին հարդարման աշխատանքների համար (բացառությամբ հատակի ներկման), ինչպես նաև մետաղյա և փայտյա իրերի ներկման համար։Յուղաներկերում թաղանթագոյացնող նյութի զանգվածային մասը պետք է լինի 20%-ից մինչև 34%, պայմանական մածուցիկությունը` ըստ B 3-4 մածուցիկաչափի (20±0,5) 0 C, 65-160 վ, սպիտակ, ԳՕՍՏ 30884-2003։ Պահպանման մնացորդային ժամկետը մատակարարման պահին 80%-ից ոչ պակաս: Պատասխանատուի   պահանջով մատակարար կազմակերպությունը պատասխանատու ստորաբաժանմանը պետք է ներկայացնի ապրանքի լաբորատոր հետազոտության արդյունքներ: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դեղին։ Նախատեսված են շենքերի արտաքին և ներքին հարդարման աշխատանքների համար (բացառությամբ հատակի ներկման), ինչպես նաև մետաղյա և փայտյա իրերի ներկման համար։ Յուղաներկերում թաղանթագոյացնող նյութի զանգվածային մասը պետք է լինի 20%-ից մինչև 34%, պայմանական մածուցիկությունը` ըստ B 3-4 մածուցիկաչափի (20±0,5) 0 C, 65-160 վ, դեղին, ԳՕՍՏ 30884-2003։ Պահպանման մնացորդային ժամկետը մատակարարման պահին 80%-ից ոչ պակաս: Պատասխանատուի   պահանջով մատակարար կազմակերպությունը պատասխանատու ստորաբաժանմանը պետք է ներկայացնի ապրանքի լաբորատոր հետազոտության արդյունքներ: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կարմիր։
Նախատեսված են շենքերի արտաքին և ներքին հարդարման աշխատանքների համար (բացառությամբ հատակի ներկման), ինչպես նաև մետաղյա և փայտյա իրերի ներկման համար։Յուղաներկերում թաղանթագոյացնող նյութի զանգվածային մասը պետք է լինի 20%-ից մինչև 34%, պայմանական մածուցիկությունը` ըստ B 3-4 մածուցիկաչափի (20±0,5) 0 C, 65-160 վ, կարմիր, ԳՕՍՏ 30884-2003: Պահպանման մնացորդային ժամկետը մատակարարման պահին 80%-ից ոչ պակաս: Պատասխանատուի   պահանջով մատակարար կազմակերպությունը պատասխանատու ստորաբաժանմանը պետք է ներկայացնի ապրանքի լաբորատոր հետազոտության արդյունքներ: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սև։ Նախատեսված են շենքերի արտաքին և ներքին հարդարման աշխատանքների համար (բացառությամբ հատակի ներկման), ինչպես նաև մետաղյա և փայտյա իրերի ներկման համար։ Յուղաներկերում թաղանթագոյացնող նյութի զանգվածային մասը պետք է լինի 20%-ից մինչև 34%, պայմանական մածուցիկությունը` ըստ B 3-4 մածուցիկաչափի (20±0,5) 0 C, 65-160 վ, սև, ԳՕՍՏ 30884-2003։ Պահպանման մնացորդային ժամկետը մատակարարման պահին 80%-ից ոչ պակաս: Պատասխանատուի   պահանջով մատակարար կազմակերպությունը պատասխանատու ստորաբաժանմանը պետք է ներկայացնի ապրանքի լաբորատոր հետազոտության արդյունքներ: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հատակի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հատակի համար։ Նոր, չօգտագործված, անփայլ հատակի սալիկ՝ 50X50սմ չափսերի, 8-10մմ հաստությամբ: Հատակի սալիկի գույնը համաձայնեցնել պատվիրատուի հետ: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 գիպսային։ 20 կգ պարկով, նախատեսված վերանորոգման աշխատանքների համար։Պահպանման ժամկետը ոչ պակաս 80% մատակարարման օրվանից: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Արտաքին տեսքը՝ անգույն հեղուկ, ներկեր, լաքեր լուծելու համար, բարձր որակի, առանց կողմնակի հոտերի, խտությունը՝ 0,78-0,77 գ/սմ3, բռնկման աստիճանը՝ 300C: 0,5 լիտրանոց տարաներով: Պահպանման մնացորդային ժամկետը մատակարարման պահին 80%-ից ոչ պակաս: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Սպիտակ  երանգով, հանքային, Էկոլոգիապես մաքուր և անվտանգ: Բաղադրությունը գիպս, լցանյութեր, մոդիֆիկացնող հավելանյութեր: Ծեփամածիկը նախատեսված է չոր միջավայրում ներքին հարդարման աշխատանքներ կատարելու, պաստառապատումից ու ներկումից առաջ չդեֆորմացվող` գիպսային, բետոնային, կրային, ցեմենտակրային, ցեմենտաավազային (պատերի և առաստաղների) մակերեսները հարթեցնելու համար: Թղթե և պոլիպրոպիլենային պարկերով համապատասխանաբար 30 կգ զտաքաշով: Պահպանման ժամկետը ոչ պակաս 80% մատակարարման  օրվանից: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 3-րդ եռամսյակում 240 կգ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 3-րդ եռամսյակում 100 կգ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  1-ին եռամսյակում 25 կգ  2-րդ եռամսյակում 25 կգ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  1-ին եռամսյակում 20 կգ 2-րդ  եռամսյակում 20 կգ 3-րդ եռամսյակում 10 կգ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 1-ին եռամսյակում 10 կգ 2-րդ եռամսյակում 10 կգ 4-րդ եռամսյակում 30 կգ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   1-ին եռամսյակում 25 կգ 2-րդ եռամսյակում 30 կգ 3-րդ եռամսյակում 35 կգ  4-րդ եռամսյակում 10 կգ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 2-րդ եռամսյակում 35 կգ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 1-ին եռամսյակում 40 կգ 2-րդ եռամսյակում 40 կգ 3-րդ եռամսյակում 50 կգ 4-րդ եռամսյակում 50 կգ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  1-ին եռամսյակում 40 կգ 2-րդ եռամսյայում 20 կգ 3-րդ եռամսյակում 20 կգ 4-րդ եռամսյակում 20 կգ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 3-րդ եռամսյակում 50 քմ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տոննա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   1-ին եռամսյակում 0,15 2-րդ եռամսյակում 0,4 3-րդ եռամսյակում 0,2 4-րդ եռամսյակում 0,45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   1-ին եռամսյակում 17 կգ 2-րդ եռամսյակում 17 կգ 4-րդ եռամսյակում 16 կգ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  1-ին եռամսյակում 50 կգ 2-րդ եռամսյակում 60 կգ 4-րդ եռամսյակում 190 կգ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