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продуктов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НММЦ-ЭАПТ-25/25</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продуктов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продуктов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продуктов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Шоколадные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