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Комитета по управлению государственным имуществом</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Тиграна Меца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Գևորգյան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info@spm.am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011546640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Комитета по управлению государственным имуществом</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ՊԳԿԿ-ԷԱՃԾՁԲ-2025/3</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Комитета по управлению государственным имуществом</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Комитета по управлению государственным имуществом</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комитета по управлению государственным имуществом</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Комитета по управлению государственным имуществом</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info@spm.am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комитета по управлению государственным имуществом</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ՊԳԿԿ-ԷԱՃԾՁԲ-2025/3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"ՊԳԿԿ-ԷԱՃԾՁԲ-2025/3"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"ՊԳԿԿ-ԷԱՃԾՁԲ-2025/3"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ՊԳԿԿ-ԷԱՃԾՁԲ-2025/3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Показано ниже.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соответствующих финансовых средств, начиная с даты вступления в силу соглашения, заключаемого на основе контракта, до 19.12.2025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