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ՀՀԿԳՄՍՆԷԱՃԾՁԲ-25/8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բջջային հեռախոսների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Արսեն Մելքոնյան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010-599-626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arsen.melqonyan@escs.am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ՀՀԿԳՄՍՆԷԱՃԾՁԲ-25/8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բջջային հեռախոսների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բջջային հեռախոսների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ՀՀԿԳՄՍՆԷԱՃԾՁԲ-25/8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arsen.melqonyan@escs.am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բջջային հեռախոսների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394.35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2024.12.24. 16:00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ՀՀԿԳՄՍՆԷԱՃԾՁԲ-25/8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ՀՀԿԳՄՍՆԷԱՃԾՁԲ-25/8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ՀՀԿԳՄՍՆԷԱՃԾՁԲ-25/8</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«ՀՀԿԳՄՍՆԷԱՃԾՁԲ-25/8»*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«ՀՀԿԳՄՍՆԷԱՃԾՁԲ-25/8»*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մատուցվում է 10 /տասը/ հեռախոսահամարի համար:
Այն ներառում է.
Մեկ հեռախոսին տրամադրվող ծառայությունները ամսական հետևյալ պարամետրերով` 
1. Ամսական առնվազն րոպեներ դեպի ՀՀ, ԱՄՆ, Կանադայի և ՌԴ բոլոր ցանցեր 3,200 րոպե
2. Բջջային ցանցի ներսում` ներառված րոպեները սպառելուց հետո` անսահմանափակ
3. Բջջային ցանցից դուրս` ներառված րոպեների սահմանաչափը սպառելուց հետո րոպեի առավելագույն գինը  չպետք է գերազանցի 12 դրամը
4. Տրամադրվող 10 հեռախոսահամարին Ինտերնետ և SMS ծառայություններ անհրաժեշտ չեն
5. Հաշվի առցանց կառավարման հնարավորությամբ
6. Բաժանորդների շուրջօրյա սպասարկում շաբաթվա բոլոր օրերին
7. Հետվճարային ծառայության տրամադրում միայն ամսավճարի կորպորատիվ գանձման  հնարավորության կազմակերպության հաշվից, հետագա կանխավճարային ծառայության տրամադրում: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Վ. Սարգսյան 3, Կառավարական տուն 2, ՀՀ ԿԳՄՍՆ: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համապատասխան ֆինանսական միջոցներ նախատեսվելու դեպքում համաձայնագիրն ուժի մեջ մտնելու օրվանից հետո 20-րդ օրացուցային օրվանից մինչև 365 օրացուցային օրը, բացառությամբ այն դեպքի, երբ ընտրված մասնակիցը համաձայնվում է ծառայությունները մատուցել ավելի կարճ ժամկետում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