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 не более 10 мг/кг, массовая доля кислорода - не более 2,7%, объемная доля окислителей,не более: метанол-3%, этанол-5%, спирт изопропиловый-10%, спирт изобутиловый-10%, спирт тербутиловый-7%, эфиры (С5 и более)-15%, другие окислители-10%, безопасность, маркировка и упаковка согласно постановлению правительства РА от 2004г. Согласно «Техническому регламенту топлива внутреннего сгорания», утвержденному 11 ноября N 1592: «Боится огня».Доставка: Ваучер, Зарядная станция в районе города Масис.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150С от 820 до 845 кг/м3, содержание серы не более 350 мг/кг, температура воспламенения не ниже 550С, нагарный остаток Вязкость не более 0,3% в 10% осадке При 400С - от 2,0 до 4,5 мм2/с, температура помутнения - не выше 00С, безопасность, по данным правительства РА в 2004 году. утвержден решением N 1592 от 11 ноября «Поставка моторных топлив внутреннего сгорания Технического регламента, Купонная АЗС на территории города Масис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даты вступления в силу договора между сторонами до 30 июня 2025 года, при условии предоставления финансовых средств после заключения настоящего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даты вступления в силу договора между сторонами до 30 июня 2025 года, при условии предоставления финансовых средств после заключения настоящего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