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ԵԱՍՄ-ԷԱՃԱՊՁԲ-25/12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Арсен Авакян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ԵԱՍՄ-ԷԱՃԱՊՁԲ-25/12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ԵԱՍՄ-ԷԱՃԱՊՁԲ-25/12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ԵԱՍՄ-ԷԱՃԱՊՁԲ-25/12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ԵԱՍՄ-ԷԱՃԱՊՁԲ-25/12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ԵԱՍՄ-ԷԱՃԱՊՁԲ-25/12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для грузовых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для грузовых автомобилей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2024.12.25.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ԵԱՍՄ-ԷԱՃԱՊՁԲ-25/12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ԵԱՍՄ-ԷԱՃԱՊՁԲ-25/12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ԵԱՍՄ-ԷԱՃԱՊՁԲ-25/12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"ԵԱՍՄ-ԷԱՃԱՊՁԲ-25/12"*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"ԵԱՍՄ-ԷԱՃԱՊՁԲ-25/12"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"ԵԱՍՄ-ԷԱՃԱՊՁԲ-25/12"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ԵԱՍՄ-ԷԱՃԱՊՁԲ-25/12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для грузовых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для грузовых автомобилей 11R22,5, однородные, назначение для задней (тяговой) оси, без воздушной камеры, конструкция-радиальная, единица измерения-шт., На шине указана: индекс скорости-K (110), индекс нагрузки-L index 146/143, индекс максимальной нагрузки-Max.л (кг) 3000/2725кг, пластичность: 16 PR, Цвет черный, боится огня, действующий стандарт АСТ 183-99, перевозка любым транспортом, поставщиком, замена и установка шин поставщиком, на территории города Ереван: Производство с 2024г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для грузовых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для грузовых автомобилей 315 / 80R22,5, однородные, назначение для задней (тяговой) оси, без воздушной камеры, конструкция-радиальная, единица измерения-шт., На шине указана: индекс скорости-L (120), индекс нагрузки-L index 156/150, индекс максимальной нагрузки-Max.L (кг) 4000/3350kg, пластичность: 20 PR, Цвет черный, боится огня, действующий стандарт АСТ 183-99, перевозка любым транспортом, поставщиком, замена и установка шин поставщиком, на территории города Ереван: Производство с 2024г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100 шт в 1-ом, 2-ом, 3-ем квартале, начиная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70 шт в 1-ом, 2-ом, 3-ем квартале, начиная с даты вступления в силу соглашения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ԵԱՍՄ-ԷԱՃԱՊՁԲ-25/12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