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ԱՍՀՆ-ՊՈԱԿ-ԷԱՃԱՊՁԲ-25/2-2-Գ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2025 года ГНОК "Гавариский детский дом"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ԱՍՀՆ-ՊՈԱԿ-ԷԱՃԱՊՁԲ-25/2-2-Գ</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2025 года ГНОК "Гавариский детский дом"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2025 года ГНОК "Гавариский детский дом"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ԱՍՀՆ-ՊՈԱԿ-ԷԱՃԱՊՁԲ-25/2-2-Գ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2025 года ГНОК "Гавариский детский дом"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ԱՍՀՆ-ՊՈԱԿ-ԷԱՃԱՊՁԲ-25/2-2-Գ</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"ԱՍՀՆ-ՊՈԱԿ-ԷԱՃԱՊՁԲ-25/2-2-Գ"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"ԱՍՀՆ-ՊՈԱԿ-ԷԱՃԱՊՁԲ-25/2-2-Գ"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ԱՍՀՆ-ՊՈԱԿ-ԷԱՃԱՊՁԲ-25/2-2-Գ</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проведения закупок, утвержденного Правительством Республики Армения от 4 мая 2017 года, реализация прав и обязанностей Покупателя возложена на СНОК «Гавари Манкатун». осуществляться по следующему адресу: Гегаркуникский марз, Гавар, р. Торгомяна ул., 5 дом. Доставка по желанию клиента (на основании заявки на покупку).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глубокой заморозки без головы и внутренностей, кубиками глубокой заморозки, упакованная в полиэтиленовую пленку и помещенная в картонную коробку. Остаточный срок годности не менее 60%. По усмотрению заказчика возможна выборка любой поставляемой партии. направляться на экспертизу до 4 раз, которую будет проводить организация, проводящая экспертизу по желанию заказчика.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форель свежая целиком, массой одной рыбы не менее 750 г, не более 1,5 кг, упаковка в полиэтиленовые пакеты, картонные коробки. Рыба форель свежая должна сопровождаться ветеринарным свидетельством формы Н2. Оставшийся срок годности - не менее 60%. По желанию клиента в течение всего срока действия договора контрольный образец из любой поставленной партии может быть отправлен на экспертизу до 4 раз, которая и будет проведена. организацией, проводящей экспертизу по выбору клиента.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изготовленный из молочных продуктов, без консервантов, расфасованный в потребительскую тару массой до 150 г, жирностью 0,1-4,5 %. Оставшийся срок годности не менее 70 % направляется на экспертизу до 4 раз. которая будет осуществляться организацией, проводящей экспертизу, выбранную клиентом.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чистая, сухая, влажность 14,0-17,0%, срок годности не менее 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для этой цели при наличии соответствующих финансовых ресурсов и на основании заключения соответствующего договора между сторонами, по требованию заказчика и после вступления договора в силу.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для этой цели при наличии соответствующих финансовых ресурсов и на основании заключения соответствующего договора между сторонами, по требованию заказчика и после вступления договора в силу.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для этой цели при наличии соответствующих финансовых ресурсов и на основании заключения соответствующего договора между сторонами, по требованию заказчика и после вступления договора в силу.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для этой цели при наличии соответствующих финансовых ресурсов и на основании заключения соответствующего договора между сторонами, по требованию заказчика и после вступления договора в силу. до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