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/6US-60Ա/Ժ/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/6US-75Ա/Ժ/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1լ տարայով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/6US-60Ա/Ժ/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6US-60Ա/Ժ  Լարումը՝ 12Վ
Սառը պարպման հոսանքը (CCA) ոչ պակաս քան՝ EN-580A
*Բևեռականությունը՝ ըստ պատվիարտուի պահանջի
Չափս մմ(երկ․/լայն․/բարձր․)` 242x175x190  
Մարտկոցները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/6US-75Ա/Ժ/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6US-75Ա/Ժ  Լարումը՝ 12Վ
Սառը պարպման հոսանքը (CCA) ոչ պակաս քան՝ EN-650A
*Բևեռականությունը՝ ըստ պատվիարտուի պահանջի
Չափս մմ(երկ․/լայն․/բարձր․)` 278x175x190  
Մարտկոցներն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խտանյութ՝  միջազգային G13 ստանդարտի, սառման ջերմաստիճանը՝ ոչ պակաս 700։ Շշալցված 1 և 4 լիտրանոց տարաներով։
Հակասառեցուցիչ խտանյութ երկարեցված աշխատանքային ժամկետով համապատասխան միջազգային ստանդարտների՝ բենզինային շարժիչների համար:  Համատեղելի է G11 տիպի ցանկացած էթիլենգլիկոնային հիմքով պատրաստված հակասառեցման հեղուկների հետ: Պարունակում է արտոնագրված բազմաֆունկցիոնալ՝ հակակոռոզիոն, հակագրավիտացիոն, հակափրփրեցման և քսանյութային հատկություններով օժտված հավելանյութերի համադրությամբ փաթեթ: Պատրաստված է բարձր կարգի մոնոէթիլենգլիկոլով: Պահպանման ժամկետ 3 տարի: Ապրանքը պետք է լինի նոր և չօգտագործված: Արտադրությունը՝ 2024թ․-ից ոչ շուտ։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1լ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բենզինային շարժիչների համար
Մածուցիկության SAE՝ 10W-40 1լ գործարանային չվնասված տարայով և արտադրողի կողմից փակված կափարիչով։ 
Տեսակը՝ կիսասինթետիկ
Խտությունը 15°C-ում, գ/մլ, ASTM D4052՝  առավելագույնը 0,868
Կինեմատիկական մածուցիկությունը (մմ2/վրկ) 40°C-ում`  նվազագույնը 96,30
Կինեմատիկական մածուցիկությունը (մմ2/վրկ) 100°C-ում`  նվազագույնը 14,30
Մածուցիկության ինդեքսը՝  նվազագույնը 153
Բռնկման կետը (оС)՝ նվազագույնը 228
Սառչելու ջերմաստիճանը՝ առավելագույնը -30
API դասակարգում՝ նվազագույնը SN/CF 
Թույլատրելիություն և հաստատումներ՝ նշվածներից որևէ մեկը՝ MB 229.3, VW 502.00, VW 505.00
Արտադրությունը և փաթեթավորումը՝ 2024թ․-ից ոչ շուտ։ Պիտանելիության ժամկետը նվազագույնը 5տ՝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