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Губернатора Тавушской РА объявляет приглашение и объявление на закупку капитального оборудования для нужд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+374263-4-45-61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Губернатора Тавушской РА объявляет приглашение и объявление на закупку капитального оборудования для нужд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Губернатора Тавушской РА объявляет приглашение и объявление на закупку капитального оборудования для нужд 2025 года</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Губернатора Тавушской РА объявляет приглашение и объявление на закупку капитального оборудования для нужд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CPU CORE i5, материнская платформа – B660,
 Жесткий диск - SSD 256 Гб, ОЗУ -
 DDR 4, 16 Гб,
Монитор - 24 дюйма,
Клавиатура - «Genius» KB-100, с портом USB или аналогичный, цвет черный, Компьютерная мышь с проводом, цвет черный или аналогичный.
Энергоаккумулятор - ИБП (не менее 650ВА), динамик с подключением "Genius" или эквивалентным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Canon imageCLASS MF3010 или другой принтер с аналогичной функциональностью.
Монохромный лазер,
Функциональность - Принтер, сканер, копир,
Размер копии: А4,
Скорость копирования/печати – 18 страниц в минуту,
Двусторонняя печать - нет,
Устройство автоматической подачи документов (АПД) — нет
Сеть - нет
Оперативная память - 64 МБ, Тип подключения - USB 2.0 Hi-speed, Картридж/Тонер - Картридж 725, работает с оригинальным картриджем Canon 725.
Картриджи с возможностью многократной заправки и использования. Гарантия минимум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canon 6030B или другой аналогичный принтер — монохромный лазерный
Скорость печати - 18 страниц в минуту.
Разрешение печати — 600 х 600 точек на дюйм.
Двусторонняя печать - нет
Оперативная память - 32 МБ
Сеть - нет
Wi-Fi - нет
Тип подключения — USB 2.0 Hi-Speed
Картридж/ Тонер - Картридж 725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