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ՔԿ ԷԱՃԱՊՁԲ-ԲՌ-25/2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ՔԿ ԷԱՃԱՊՁԲ-ԲՌ-25/2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ՔԿ ԷԱՃԱՊՁԲ-ԲՌ-25/2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75185670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394.59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3.83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413.89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ՔԿ ԷԱՃԱՊՁԲ-ԲՌ-25/2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ՔԿ ԷԱՃԱՊՁԲ-ԲՌ-25/2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ԷԱՃԱՊՁԲ-ԲՌ-25/2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ՔԿ ԷԱՃԱՊՁԲ-ԲՌ-25/2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ՔԿ ԷԱՃԱՊՁԲ-ԲՌ-25/2»*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քննչական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ՔԿ ԷԱՃԱՊՁԲ-ԲՌ-25/2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ՔԿ ԷԱՃԱՊՁԲ-ԲՌ-25/2»*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քննչական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ՔԿ ԷԱՃԱՊՁԲ-ԲՌ-25/2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ԷԱՃԱՊՁԲ-ԲՌ-25/2»*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ԷԱՃԱՊՁԲ-ԲՌ-25/2*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ՔԿ ԷԱՃԱՊՁԲ-ԲՌ-25/2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ԷԱՃԱՊՁԲ-ԲՌ-25/2»*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ԷԱՃԱՊՁԲ-ԲՌ-25/2*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93 (ռեգուլյար),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Մատակարարումը՝ Կտրոնային։ Կտրոնի ուժի մեջ լինելու ժամկետը պետք է լինի առնվազն մեկ տարի՝ պայմանագիրը ուժի մեջ մտնելու օրվանից սկսած: Պետք է ապահովվի բոլոր կտրոնների միասնականության  ճանաչումը  ՀՀ տարածքներում:
Երևան քաղաքի յուրաքանչյուր վարչական շրջանում մատակարարը պետք է ունենա՝ առնվազն 2, ՀՀ յուրաքանչյուր մարզի՝ առնվազն 3 քաղաքներից յուրաքանչյուրում առնվազն 1 հատ սկզբունքով բենզալցակայան կամ համապատասխան այլ բենզալցակայաններից հավաստում՝ կտրոնով ապրանքի մատակարարումն իրականացնելու համար: 
Բենզալցակայանների հասցեների ցանկը մասնակցի կողմից ներկայացվում է հայտով: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Մամիկոնյանց 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2025թ.-ի սեպտեմբերի 15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