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и офисных материалов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и офисных материалов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и офисных материалов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и офисных материалов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Кончик шарика։ минимум 0.7 мм, механизм - не автоматический, цвет чернили: синий, основной материал: пластик, чернила на водной основе, корпус с металлической кришкой, без прерываний при написании. Длина ручки с кришкой не менее 13․5 см. Uni-ball Micrо, Uni-ball Micro Deluxe или эквивалент. Год выпуска не менее: 2024г. 2-ого полгода.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A4 (210x297мм), без мелового покрытия, без  нитей, получен механическoм методօм. Плотность: 80 г/м2. Размеры: 210х297мм. (без отклонений), предназначен для односторонней и двусторонней печати. Подходит для лазерной, струйной и офсетной печати. Белизна не менее 150%, толщина: 106-110мкм, непроницаемօсть - не менее 92%. При заводской упаковке количество листов в каждой коробке составляет 500 (без отклонений). Вес одной упаковки - 2,5 кг (вес одной коробки: 12,5 кг). Pioneer или Ballet Premier или Navigator. Товар должен быть неиспользованным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