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19</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ալիքավոր թիթեղ  ԿՊ 25 /պրոֆնա                                 ստիլ/ հաստությունը՝ 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Գլանափաթեթային ջրամեկուսիչ նյութ  ««Իզոգամ»», որը համապատասխանում է  ГОСТ 32805-2014 (EN13707:2004)  հիմնական պարամետրերին և չափերին, ունի ջերմակայունություն՝ 80 ±2oC, ճկունություն, փխրության ջերմաստիճանը՝ -15oC, անջրանցիկությունը՝ 0,2ՄՊա(կգ ուժ/սմ2),հիմնական պարամետրերը՝ նյութը փաթեթային, ջրամեկուսիչ բիտումային 1մ*10մ,  ներքին և վերին շերտը պոլիմերային թաղանթներով, հաստությունը ոչ պակաս 4մմ, 1 փաթեթի քաշը ոչ պակաս 45 կգ-ից, 1մ2  ոչ պակաս 4մմ-ից ,1 մ2   ոչ պակաս 4,5 կգ-ից:
Իզոգամը պետք է մատակարարվի իրեն համար նախատեսված սոսնձով համապատասխան քանակի: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Մաքրավան Սարալանջի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Մաքրավան Սարալանջի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