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 և սառնարաններ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a.manucharyan@minurban.am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 և սառնարաններ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 և սառնարաններ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a.manucharyan@minurban.am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 և սառնարաններ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ՀՀՔԿ-ԷԱՃԱՊՁԲ-24/8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Վճարումը կիրականացվի հանձնման-ընդունման արձանագրությունը ստորագրելու օրվանից հետո  10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օդորակիչ (ինվերտորային) առնվազն 18000BTU, նախատեսված օդի սառեցման և տաքացման համար, խոնավեցման ռեժիմով: Պատին ամրացման համար /սպլիտ/: Սպասարկող տարածքի նվազագույն մակերեսը՝ 50քմ: Կառավարումը՝ հեռակառավարման վահանակով, ֆիլտրը՝ ածխային, սառեցման հզորությունը` նվազագույնը 4500Վտ, տաքացման հզորությունը` նվազագույնը 5000Վտ: Հզորությունը՝  (հովացում/տաքացում) մինչև 1.7 կՎտ/ժ Միաֆազ: Գույնը՝ սպիտակ:
- Երաշխիքային ժամկետն` առնվազն 365 օրացուցային օր:              Ապրանքի տեղափոխումը և տեղադրումը կատարվում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օդորակիչ (ինվերտոր) առնվազն 12000BTU, նախատեսված օդի սառեցման և տաքացման համար, խոնավեցման ռեժիմով: Պատին ամրացման համար /սպլիտ/: Սպասարկող տարածքի նվազագույն մակերեսը՝ 40քմ: Կառավարումը՝ հեռակառավարման վահանակով, ֆիլտրը՝ ածխային, հզորությունը սառեցման ռեժիմում` նվազագույնը 3000Վտ, հզորությունը տաքացման ռեժիմում` նվազագույնը 3500Վտ: Միաֆազ: Գույնը՝ սպիտակ:
- Երաշխիքային ժամկետն` առնվազն 365 օրացուցային օր:              Ապրանքի տեղափոխումը և տեղադրումը կատարվում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Տեսակը՝ ստանդարտ, սառցախցիկի դիրքը՝ ներսի, կառավարման տեսակը՝ մեխանիկական, լուսավորման համակարգի առկայություն, կոմպրեսորների քանակը՝ առնվազն 1, ընդհանուր օգտագործման ծավալը սառցախցիկի հետ միասին առնվազն 90լ,  բարձրությունը՝ 90-140 սմ., դռների քանակը՝ 1, սառեցման աստիճանը (Ց)՝ -8º:  Գույնը`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