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քաղաքաշինության կոմիտեի կարիքների համար համակարգիչներ ամբողջը մեկում և համակարգչի կոշտ սկավառակների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gayane.hakobyan14@mail.ru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քաղաքաշինության կոմիտեի կարիքների համար համակարգիչներ ամբողջը մեկում և համակարգչի կոշտ սկավառակների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քաղաքաշինության կոմիտեի կարիքների համար համակարգիչներ ամբողջը մեկում և համակարգչի կոշտ սկավառակների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gayane.hakobyan14@mail.ru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քաղաքաշինության կոմիտեի կարիքների համար համակարգիչներ ամբողջը մեկում և համակարգչի կոշտ սկավառակների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ՀՀՔԿ-ԷԱՃԱՊՁԲ-24/9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ՀՀՔԿ-ԷԱՃԱՊՁԲ-24/9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ՀՀՔԿ-ԷԱՃԱՊՁԲ-24/9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ՀՀՔԿ-ԷԱՃԱՊՁԲ-24/9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ՀՀՔԿ-ԷԱՃԱՊՁԲ-24/9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ՔԱՂԱՔԱՇԻՆՈՒԹՅԱՆ ԿՈՄԻՏԵԻ ԿԱՐԻՔՆԵՐԻ ՀԱՄԱՐ ՀԱՄԱԿԱՐԳԻՉՆԵՐ ԱՄԲՈՂՋԸ ՄԵԿՈՒՄ և ՀԱՄԱԿԱՐԳՉԻ ԿՈՇՏ ՍԿԱՎԱՌԱԿՆԵՐԻ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(All in one) Էկրան տեսանելի, օգտագործվող հատվածի անկյունագծի չափսը առնվազն 23.8'', կետայնությունը՝ առնվազն 1920x1080 կդ/վրկ (Full HD), պայծառությունը առնվազն 250կդ, IPS antiglare մատրիցայով: Պրոցեսորը (processor) առնվազն Intel Core i5 min. 14th gen, չիպսետ  առնվազն - Intel Q670 մաքսիմալ հաճախականությունը 4.80 Ghz, օպերատիվ հիշողությունը (RAM) առնվազն 16GB (2x8GB) DDR5 4800 SODIMM, կոշտ սկավառակ ներքին (SSD) առնվազն 512 GB M.2 NVMe PCIe: Տեսաքարտը (video card) մայրական սալիկում ինտեգրված, առնվազն Intel UHD Graphics 770: Արտաքին միացումների հնարավորություններ` 1 RJ-45; 1 HDMI 1.4; 2 SuperSpeed USB Type-A 5Gbps signaling rate (charging); 2 SuperSpeed USB Type-A 10Gbps signaling rate (charging); 1 DisplayPort™ 1.4a, առանց լար միացման համակարգ՝ առնվազն Realtek 8852BE Wi-Fi6 +BT 5.3 WLAN: Ձայնային սարքավորումներ՝ բարձրախոս dual 2w speaker: Ներկառուցված Վեբ–տեսախցիկ առնվազն 5 MP IR camera, ստեղնաշարը և մկնիկը գործարանային, անգլերեն և ռուսերեն տառատեսակներով, համատեղելի MS Windows համակարգերի հետ՝ նույն արտադրողի կողմից։
-Վաճառողի կողմից ներկայացվող ապրանքի տեխնիկական բնութագիրը պարտադիր պետք է ներառի նաև իր կողմից   առաջարկվող ապրանքի ապրանքային նշանի, ֆիրմային անվանման, մակնիշի և արտադրողի վերաբերյալ տեղեկատվություն։
Համակարգիչները մատակարարելիս մատակարար ընկերությունը պարտավոր է ներկայացնել արտադրողի  ՀՀ-ում արտոնագրված դիստրիբյուտրի կողմից հավաստագրված փաստաթուղթ։
Արտադրողը ՀՀ-ում պետք է ունենա առնվազն  հավաստագրված սպասարկման-սերվիս կենտրոն։
Երաշխիքային ժամկետ է սահմանվում Գնորդի կողմից ապրանքն ընդունվելու օրվան հաջորդող օրվանից հաշված 365 օրացուցային օրը:
Մատակարարումը մինչև պատվիրատուի հասցե կատարվում է մատակարարի կողմից՝ իր միջոցներով։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վաճառողը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2.5՛՛ 
- Հիշողության ծավալը նվազագույնը 4TB 
- Առնվազն USB 3.0 ինտերֆեյսով /համատեղելի 2.0/
- Տեսակը՝ HDD 
- Սարքի հետ պետք է լինի տվյալների փոխանցման համապատասխան մալուխ: 
Արտադրողի կողմից լիազորման ձևի առկայություն (MAF):*
*  Ապրանքը պետք է լինի նոր` չօգտագործված, գործարանային փաթեթավորմամբ:
** Ապրանքի տեղափոխումը կատարվում է Վաճառողի կողմից:
***Ապրանքը պետք է  մատակարարվի ՀՀ կառավարական տուն, թիվ 3շ, 4-րդ հարկ հասցեով: 
****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(համաձայնագրով) նախատեսված կողմերի իրավունքների և պարտականությունների կատարման պայմանն ուժի մեջ մտնելու օրը, բացառությամբ այն դեպքի, երբ վաճառողը համաձայնում է ապրանքը մատակարարել ավելի կարճ ժամկետում: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վերջնաժամկետը չի կարող ավել լինել, քան տվյալ տարվա դեկտեմբերի 20-ը: Մատակարարման ժամկետները կհստակեցվեն ֆինանսական   միջոցներ նախատեսվելու դեպքում կողմերի միջև կնքվող  համաձայնագրով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