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ՇՄՆ-ԷԱՃ-ԾՁԲ-25/11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շրջակա միջավայրի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 Հանրապետության հրապարակ,Կառավարական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Կարճ հաղորդագրությունների (sms) ուղարկման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Զոհրաբյան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011818529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gnumner@env.am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շրջակա միջավայրի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ՇՄՆ-ԷԱՃ-ԾՁԲ-25/11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շրջակա միջավայրի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շրջակա միջավայրի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Կարճ հաղորդագրությունների (sms) ուղարկման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շրջակա միջավայրի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Կարճ հաղորդագրությունների (sms) ուղարկման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ՇՄՆ-ԷԱՃ-ԾՁԲ-25/11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gnumner@env.am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Կարճ հաղորդագրությունների (sms) ուղարկման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396.06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2025.01.10.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ՇՄՆ-ԷԱՃ-ԾՁԲ-25/11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շրջակա միջավայրի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ՇՄՆ-ԷԱՃ-ԾՁԲ-25/11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ՇՄՆ-ԷԱՃ-ԾՁԲ-25/11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«ՇՄՆ-ԷԱՃ-ԾՁԲ-25/11»*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ՇՄՆ-ԷԱՃ-ԾՁԲ-25/11*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«ՇՄՆ-ԷԱՃ-ԾՁԲ-25/11»*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ՇՄՆ-ԷԱՃ-ԾՁԲ-25/11*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պայմանագրի հիման վրա կնքվելիք համաձայնագիրն ուժի մեջ մտնելու օրվանից մինչև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