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ՍԴ-ԷԱՃԾՁԲ-2601/12/24/25/ՏԳ</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սահմանադրական դատարան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Բաղրամյան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Սահմանադրական դատարանի համար գրքի կազմման վերջնամշակման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Վահան Շահինյան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011588120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findep@concourt.am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սահմանադրական դատարան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ՍԴ-ԷԱՃԾՁԲ-2601/12/24/25/ՏԳ</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սահմանադրական դատարան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սահմանադրական դատարան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Սահմանադրական դատարանի համար գրքի կազմման վերջնամշակման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սահմանադրական դատարան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Սահմանադրական դատարանի համար գրքի կազմման վերջնամշակման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ՍԴ-ԷԱՃԾՁԲ-2601/12/24/25/ՏԳ</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findep@concourt.am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Սահմանադրական դատարանի համար գրքի կազմման վերջնամշակման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2025.01.08.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ՍԴ-ԷԱՃԾՁԲ-2601/12/24/25/ՏԳ</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սահմանադրական դատարան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ՍԴ-ԷԱՃԾՁԲ-2601/12/24/25/ՏԳ</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ՍԴ-ԷԱՃԾՁԲ-2601/12/24/25/ՏԳ</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«ՍԴ-ԷԱՃԾՁԲ-2601/12/24/25/ՏԳ»*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ՍԴ-ԷԱՃԾՁԲ-2601/12/24/25/ՏԳ*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«ՍԴ-ԷԱՃԾՁԲ-2601/12/24/25/ՏԳ»*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ՍԴ-ԷԱՃԾՁԲ-2601/12/24/25/ՏԳ*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4</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