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ԵՊՀ-ԷԱՃԾՁԲ-25/31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ցանցի լարանցման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Այվազյան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ԵՊՀ-ԷԱՃԾՁԲ-25/31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ցանցի լարանցման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ցանցի լարանցման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ԵՊՀ-ԷԱՃԾՁԲ-25/31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ցանցի լարանցման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ցանցի լարանցման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396.06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2025.01.09.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ԵՊՀ-ԷԱՃԾՁԲ-25/31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ԵՊՀ-ԷԱՃԾՁԲ-25/31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ԵՊՀ-ԷԱՃԾՁԲ-25/31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«ԵՊՀ-ԷԱՃԾՁԲ-25/31»*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ԵՊՀ-ԷԱՃԾՁԲ-25/31*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«ԵՊՀ-ԷԱՃԾՁԲ-25/31»*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ԵՊՀ-ԷԱՃԾՁԲ-25/31*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ՀԻՄՆԱԴՐԱՄԻ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Պատասխանատու ստորաբաժանում՝ ԵՊՀ ՏՏ վարչություն:</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ցանցի լարանցման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իրականացնել ցածրավոլտ՝ ինտերնետ/հեռախոս(UTP), ցանցի լարանցման ծառայություններ ԵՊՀ տարբեր մասնաշենքերում(Ալեք Մանուկյան 1, Աբովյան 52, 52ա, Ծարավ Աղբյուրի 55/5, Բյուրականի ուսումնաարտադրական բազա)։ Աշխատաներն անհաժեշտ է իրականացնել պատվիրատուի կողմից լիազորված ստորաբաժանման աշխատակցի վերահսկողությամբ։ Լարանցման ուղին, սկզբնական և վերջնական հանգույցի կետերը նախապես համաձայնեցվում է պատվիրատուի հետ։ Պատվիրատուի կողմից տրամադրվում է լարանցման համար անհրաժեշտ հաղորդալարը,  կոնեկտորները և ուղետարները(короб)։ Լարանցում իրականացնելու համար անհրաժեշտ անցքերի բացումը, լարերի ամրացումն ու համարակալումը և կոնեկտորների ամրացումը իրականացվում է մատակարարի ուժերով։ Ինչպես նաև անհրաժեշտ այլ ծախսվող նյութերի ձեռք բերումը մատակարարը իրականացնում է իր միջոցներով։ Լարանցման գործընթացը հիմնականում իրականացվելու է հետևյալ սկզբունքներով՝
1.	Լարանցում ամրակներով ամրացման կամ առկա ուղետարներով անցկացման եղանակով,
2.	Լարանցում, որը ուղեկցվում է նոր ուղետարերի մոնտաժմամբ։
Լարանցման աշխատանքները իրականացվելու են պատվիրատուի կողմից ներկայացված գրավոր կամ բանավոր հայտի հիման վրա՝ ըստ անհրաժեշտության, բայց ոչ ավել քան 10000մ մեկ տարվա ընթացքում։
Աշխատանքների իրականացումը և համապատասխան վճարումները կատարվելու են փաստացի կատարված աշխատանքերի հիման վրա, յուրաքանչյուր մետրի համար սահմանված առավելագույն գինը չպետք է գերազանցի 300 ՀՀ դրամ։
Աշխատանքներն իրականացնողը պետք է ունենա կրթական հաստատություններում ներքին ցածրավոլտ՝ ինտերնետ/հեռախոս(UTP), ցանցի անցկացման առնվազն երկու բարեհաջող իրականացված աշխատանքների փորձ՝ համապատասխան փաստաթղթավորմամբ։  
Աշխատանքների իրականացման ընթացքում անհրաժեշտ է ապահովել ուսանողների և աշխատակիցների անվտանգությունը, հնարավորինս չխոչընդոտել ԲՈՒՀ-ի բնականաոն աշխատանքը, միաժամանակ աշխատանքների իրականացման ընթացքում իրականացնողի պատճառով ի հայտ եկած վնասների վերացումը իրականացվում է աշխատանքները իրականացնողի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2025 թ. պայմանագիրն ուժի մեջ մտնելուց հետո համապատասխան ֆինանսական միջոցներ նախատեսվելու դեպքում համաձայնագրի ուժի մեջ մտնելուց հետո մինչև 2025 թվականի դեկտեմբերի 25-ը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