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ՀՀԱՆՇՕԾ-2025/4</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SAE  5W30 API SN/CF. Масла универсальные, моторные. Химический состав: синтетический. Кинематическая вязкость при 100°C – 9.6-12,5 мм²/с. Индекс вязкости – не менее 160, температура  вспышки – не ниже 220°C, температура застывания- не выше  -34°C ,  щелочное число – не ниже  6,0 мг  КОН/г. Массовая доля механических примесей – не более 0,015%. Температура самовозгорания не ниже  230°C .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Плотность при температуре  20°С  в пределах 1,065-1.085 г/см³, начальная температура кристаллизации  -40°С. Температура кипения при давлении 101,3 кПа, не ниже 108°С . Набухание резин, изменение объёма, не более 3 %.  Щёлочность, не менее   15 см³.  Показатель активности водородных ионов при температуре 20°С, (рН) в пределах 7,5-8.5. Поставка в заводских закрытых тарах емкостью  5 и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Плотность при температуре  20°С  в пределах 1,065-1.085 г/см³, начальная температура кристаллизации  -40°С. Температура кипения при давлении 101,3 кПа, не ниже 108°С . Набухание резин, изменение объёма, не более 3 %.  Щёлочность, не менее   15 см³.  Показатель активности водородных ионов при температуре 20°С, (рН) в пределах 7,5-8.5. Поставка в заводских закрытых тарах емкостью  5 и 10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с момента заключения договора, рассчитывается в соответствии с запрошенным клиентом количеством.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с момента заключения договора, рассчитывается в соответствии с запрошенным клиентом количеством.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с момента заключения договора, рассчитывается в соответствии с запрошенным клиентом количеством.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