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ԿՈՏ-ՀՈԱԿ-ԷԱՃԱՊՁԲ-25/1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ՀՐԱԶԴԱՆԻ  ՄՈԴՈՒԼԱՅԻՆ ՄԱՆԿԱՊԱՐՏԵԶԻ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ԿՈՏ-ՀՈԱԿ-ԷԱՃԱՊՁԲ-25/1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ՀՐԱԶԴԱՆԻ  ՄՈԴՈՒԼԱՅԻՆ ՄԱՆԿԱՊԱՐՏԵԶԻ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ՀՐԱԶԴԱՆԻ  ՄՈԴՈՒԼԱՅԻՆ ՄԱՆԿԱՊԱՐՏԵԶԻ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ԿՈՏ-ՀՈԱԿ-ԷԱՃԱՊՁԲ-25/1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ՀՐԱԶԴԱՆԻ  ՄՈԴՈՒԼԱՅԻՆ ՄԱՆԿԱՊԱՐՏԵԶԻ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ԿՈՏ-ՀՈԱԿ-ԷԱՃԱՊՁԲ-25/1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ԿՈՏ-ՀՈԱԿ-ԷԱՃԱՊՁԲ-25/1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ԿՈՏ-ՀՈԱԿ-ԷԱՃԱՊՁԲ-25/1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ԿՈՏ-ՀՈԱԿ-ԷԱՃԱՊՁԲ-25/1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ԿՈՏ-ՀՈԱԿ-ԷԱՃԱՊՁԲ-25/1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«ԿՈՏ-ՀՈԱԿ-ԷԱՃԱՊՁԲ-25/1»*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«ԿՈՏ-ՀՈԱԿ-ԷԱՃԱՊՁԲ-25/1»*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ԿՈՏԱՅՔԻ ՄԱՐԶՊԵՏԻ ԱՇԽԱՏԱԿԱԶՄԻ ԿԱՐԻՔՆԵՐԻ ՀԱՄԱՐ ՀՐԱԶԴԱՆԻ  ՄՈԴՈՒԼԱՅԻՆ ՄԱՆԿԱՊԱՐՏԵԶԻ  ԳՈՒՅՔԻ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գույքի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