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ՇՄԱ ԷԱՃԱՊՁԲ-2024/24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ք.Գյումրի Գ.Նժդեհի 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մարզպետի աշխատակազմի կարիքների համար Համակագիչ ամբողջը մեկում ձեռբերում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Զարիկ Մուրադյան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0312 49000 130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zarikm@mail.ru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ՇՄԱ ԷԱՃԱՊՁԲ-2024/24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մարզպետի աշխատակազմի կարիքների համար Համակագիչ ամբողջը մեկում ձեռբերում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մարզպետի աշխատակազմի կարիքների համար Համակագիչ ամբողջը մեկում ձեռբերում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ՇՄԱ ԷԱՃԱՊՁԲ-2024/24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zarikm@mail.ru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մարզպետի աշխատակազմի կարիքների համար Համակագիչ ամբողջը մեկում ձեռբերում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4132.77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ՇՄԱ ԷԱՃԱՊՁԲ-2024/24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ՇՄԱ ԷԱՃԱՊՁԲ-2024/24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ՇՄԱ ԷԱՃԱՊՁԲ-2024/24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ՇՄԱ ԷԱՃԱՊՁԲ-2024/24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ՇՄԱ ԷԱՃԱՊՁԲ-2024/24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ՇՄԱ ԷԱՃԱՊՁԲ-2024/24»*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մարզպետի աշխատակազմ*  (այսուհետ` Պատվիրատու) կողմից կազմակերպված` ՀՀ ՇՄԱ ԷԱՃԱՊՁԲ-2024/24*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- 05558305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- 900211205027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ՇՄԱ ԷԱՃԱՊՁԲ-2024/24»*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մարզպետի աշխատակազմ*  (այսուհետ` Պատվիրատու) կողմից կազմակերպված` ՀՀ ՇՄԱ ԷԱՃԱՊՁԲ-2024/24*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- 05558305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- 900211205027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ապրիլի 10-ը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Մոդել ` (HP) կամ համարժեքը, (Acer) կամ համարժեքը   (Dell) կամ համարժեքը
Մոնոբլոկ` ALL IN ONE Monoblock 
Պրոցեսոր` CPU Core i3  առնվազն 12սերունդ,միջուկների քանակը՝ոչ պակաս 4,հոսքերի քանակը ոչ պակաս 8,բազային հաճախականությունը ՝առնվազն 2,1Գհց,մաքսիմալ 4,4 Գհց,Քեշ հիշողությունը՝ առնվազն 4մբ:Օպերատիվ հիշողություն` (RAM) 8GB DDR4-3200MHz SDRAM (1x8GB)
SSD կուտակիչ` 512 GB NVMe M. 2. Տեսաքարտ` (VGA) Intel UHD Graphics
Անլար միացումներ` Realtek 802.11a/b/g/n/ac (1x1), Bluetooth 4.2 combo
Մուտքերը և միցումներ 1HDML-out,1headphone/microphone combo,1power connector,1Rj-45, առնվազն 2հատ USB 2,0, 2-հատ USB 3,1: Էկրան` 21.5 ” FHD 1920 × 1080, IPS, LED
Ստեղնաշարը գործարանային անգլերեն և ռուսերեն տառատեսակներով, մկնիկը օպտիկական: Համակարգիչը,ստեղմանաշարը,մկնիկը՝ միևնույն արտադրոզից,ներառված գործարանային լրակազմի մեջ: 
Մրցույթը շահող կազմակերպությունը պետք է տրամադրի առնվազն մեկ տարվա երաշխիքային սպասարկում: Մասնակիցը պարտավոր է ներկայացնելու իր կողմից առաջարկվող ապրանքային նշանի ֆիրմային անվանման, մոդելի և արտադրողի վերաբերյալ տեղեկատվություն: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05.04.2025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