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002-Ա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Սիսիան համայնքի  կարիքների համար ֆուրշետների և ճաշկերույթների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sisiancity@mail.ru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002-Ա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sisiancity@mail.ru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համայնքի կարիքների համար ֆուրշետների և ճաշկերույթների կազմակերպման ծառայության մատուցման ճաշացանկը՝ 1 անձի հաշվարկով ներկայացված է Հավելված 1.1-ում: Վերոնշյալ մենյուին համապատասխան Կատարողը Ծառայությունը մատուցում է 3-ից մինչև 170 անձից բաղկացած խմբի (այսուհետ՝ Խումբ) հաշվարկով, Սիսիան համայնքի Սիսիան քաղաքում գտնվող տարածքում: Մինչև պայմանագրի ավարտը Կատարողը Ծառայությունը պարտավոր է մատուցել խմբերի ընդհանուր հանրագումարով՝ 773 անձի հաշվարկով, ուստի գնային առաջարկը պետք է ներկայացված լինի նշված թվի հաշվարկով: Խմբի թվակազմը ձևավորվում է Ծառայությունը մատուցելուց առնվազն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թվակազմի փոփոխություններ այդ մասին Կատարողին առնվազն 4 ժամ առաջ էլ. փոստի միջոցով կամ առձեռն` ստորագրությամբ ծանուցելու միջոցով: 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Կատարողը պարտավորվում է մենյուին համապատասխան Ծառայությունը մատուցելուց առաջ փորձանմուշներ վերցնել պատրաստի խոհարարական արտադրանքից (ներառյալ` թեյից, սուրճից, թխվածքից, հյութից և այլն)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 փորձաքննություն իրականացնելու նպատակով: Կատարողը պարտավոր է նաև Ծառայության մատուցման հետ կապված սննդամթերքի և հարակից այլ ապրանքների գնման, փորձաքննության, սերտիֆիկացման, տեղափոխման և այլ բնույթի փաստաթղթերը պահպանել առնվազն մեկ տարի ժամկետով և կարիք առաջանալու դեպքում դրանք ներկայացնել Պատվիրատուին կամ Հայաստանի Հանրապետության պատկան մարմիններին` փորձաքննություն իրականացնելու նպատակով: Տարածքը տրամադրում է Կատարողը: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2024 թվականի 1-ին, 2-րդ, 3-րդ, 4-րդ եռամսյակներում պատվիրատուի կողմից ներկայացված պահանջի հիման վրա: 1-ին փուլով ծառայությունը իրականացվում է ներկայացված քանակի 7%-ի չափով: Վճարումը՝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