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001-Ա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001-Ա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Ուղևորների փոխադրում ք. Սիսիանից Պատվիրատուի կողմից նշված ուղղություններով՝ ուղևորափոխադրող ավտոմեքենաներով, որոնք պետք է ունենան առնվազն 14 նստելատեղեր: Մինչև պայմանագրի ավարտը Կատարողը Ծառայությունը պարտավոր է մատուցել 29777 կմ հաշվարկով: Պատվիրատուին սպասարկող ավտոմեքենաները պետք է լինեն սարքին և մաքուր վիճակում, վարորդները պետք է ունենան վարորդական իրավունք, համապատասխան աշխատանքային փորձ, լինեն կոկիկ արտաքինով: Ծառայությունների մատուցման անհրաժեշտություն կարող է առաջանալ նաև տոն և հանգստի օրերին: Ծառայությունը իրականացվում է 2025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